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A37" w:rsidRDefault="00907DED">
      <w:pPr>
        <w:jc w:val="center"/>
        <w:rPr>
          <w:rFonts w:ascii="方正大标宋简体" w:eastAsia="方正大标宋简体" w:hAnsi="华文中宋"/>
          <w:color w:val="FF0000"/>
          <w:spacing w:val="34"/>
          <w:sz w:val="72"/>
          <w:szCs w:val="28"/>
        </w:rPr>
      </w:pPr>
      <w:r>
        <w:rPr>
          <w:rFonts w:ascii="方正大标宋简体" w:eastAsia="方正大标宋简体" w:hAnsi="华文中宋" w:hint="eastAsia"/>
          <w:color w:val="FF0000"/>
          <w:spacing w:val="34"/>
          <w:sz w:val="72"/>
          <w:szCs w:val="28"/>
        </w:rPr>
        <w:t>上海健康医学院教务处</w:t>
      </w:r>
    </w:p>
    <w:p w:rsidR="00DD2A37" w:rsidRDefault="00907DED">
      <w:pPr>
        <w:jc w:val="center"/>
        <w:rPr>
          <w:rFonts w:ascii="仿宋" w:eastAsia="仿宋" w:hAnsi="仿宋"/>
          <w:color w:val="FF0000"/>
          <w:sz w:val="28"/>
          <w:szCs w:val="28"/>
        </w:rPr>
      </w:pPr>
      <w:r>
        <w:rPr>
          <w:rFonts w:ascii="仿宋" w:eastAsia="仿宋" w:hAnsi="仿宋" w:hint="eastAsia"/>
          <w:color w:val="FF0000"/>
          <w:sz w:val="28"/>
          <w:szCs w:val="28"/>
        </w:rPr>
        <w:t>教务〔2021〕11号</w:t>
      </w:r>
    </w:p>
    <w:p w:rsidR="00DD2A37" w:rsidRDefault="00FB522E">
      <w:pPr>
        <w:jc w:val="center"/>
        <w:rPr>
          <w:rFonts w:ascii="仿宋" w:eastAsia="仿宋" w:hAnsi="仿宋"/>
          <w:sz w:val="28"/>
          <w:szCs w:val="28"/>
        </w:rPr>
      </w:pPr>
      <w:r w:rsidRPr="00FB522E">
        <w:rPr>
          <w:rFonts w:ascii="仿宋" w:eastAsia="仿宋" w:hAnsi="仿宋"/>
          <w:noProof/>
          <w:color w:val="FF0000"/>
          <w:sz w:val="28"/>
          <w:szCs w:val="28"/>
        </w:rPr>
        <w:pict>
          <v:shapetype id="_x0000_t32" coordsize="21600,21600" o:spt="32" o:oned="t" path="m,l21600,21600e" filled="f">
            <v:path arrowok="t" fillok="f" o:connecttype="none"/>
            <o:lock v:ext="edit" shapetype="t"/>
          </v:shapetype>
          <v:shape id="自选图形 2" o:spid="_x0000_s1026" type="#_x0000_t32" style="position:absolute;left:0;text-align:left;margin-left:5.4pt;margin-top:.45pt;width:405.3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" strokecolor="red" strokeweight="1.75pt"/>
        </w:pict>
      </w:r>
    </w:p>
    <w:p w:rsidR="00DD2A37" w:rsidRDefault="00907DED">
      <w:pPr>
        <w:jc w:val="center"/>
        <w:rPr>
          <w:rFonts w:ascii="方正小标宋简体" w:eastAsia="方正小标宋简体" w:hAnsi="仿宋"/>
          <w:sz w:val="44"/>
          <w:szCs w:val="44"/>
        </w:rPr>
      </w:pPr>
      <w:r>
        <w:rPr>
          <w:rFonts w:ascii="方正小标宋简体" w:eastAsia="方正小标宋简体" w:hAnsi="仿宋" w:hint="eastAsia"/>
          <w:sz w:val="44"/>
          <w:szCs w:val="44"/>
        </w:rPr>
        <w:t>上海健康医学院本科人才培养方案</w:t>
      </w:r>
    </w:p>
    <w:p w:rsidR="00DD2A37" w:rsidRDefault="00907DED">
      <w:pPr>
        <w:jc w:val="center"/>
        <w:rPr>
          <w:rFonts w:ascii="仿宋" w:eastAsia="仿宋" w:hAnsi="仿宋"/>
          <w:sz w:val="28"/>
          <w:szCs w:val="28"/>
        </w:rPr>
      </w:pPr>
      <w:r>
        <w:rPr>
          <w:rFonts w:ascii="方正小标宋简体" w:eastAsia="方正小标宋简体" w:hAnsi="仿宋" w:hint="eastAsia"/>
          <w:sz w:val="44"/>
          <w:szCs w:val="44"/>
        </w:rPr>
        <w:t>制订（修订）工作指导意见（2021版）</w:t>
      </w:r>
    </w:p>
    <w:p w:rsidR="00DD2A37" w:rsidRDefault="00907DED">
      <w:pPr>
        <w:pStyle w:val="a8"/>
        <w:adjustRightInd w:val="0"/>
        <w:snapToGrid w:val="0"/>
        <w:spacing w:before="0" w:beforeAutospacing="0" w:after="0" w:afterAutospacing="0" w:line="360" w:lineRule="auto"/>
        <w:ind w:firstLineChars="200" w:firstLine="640"/>
        <w:jc w:val="both"/>
        <w:rPr>
          <w:rFonts w:ascii="仿宋" w:eastAsia="仿宋" w:hAnsi="仿宋" w:cs="仿宋"/>
          <w:kern w:val="2"/>
          <w:sz w:val="32"/>
          <w:szCs w:val="32"/>
        </w:rPr>
      </w:pPr>
      <w:r>
        <w:rPr>
          <w:rFonts w:ascii="仿宋" w:eastAsia="仿宋" w:hAnsi="仿宋" w:cs="仿宋" w:hint="eastAsia"/>
          <w:kern w:val="2"/>
          <w:sz w:val="32"/>
          <w:szCs w:val="32"/>
        </w:rPr>
        <w:t>为深入贯彻</w:t>
      </w:r>
      <w:r>
        <w:rPr>
          <w:rFonts w:ascii="仿宋" w:eastAsia="仿宋" w:hAnsi="仿宋" w:cs="仿宋" w:hint="eastAsia"/>
          <w:sz w:val="32"/>
          <w:szCs w:val="32"/>
        </w:rPr>
        <w:t>《中国教育现代化2035</w:t>
      </w:r>
      <w:r>
        <w:rPr>
          <w:rFonts w:ascii="仿宋" w:eastAsia="仿宋" w:hAnsi="仿宋" w:cs="仿宋" w:hint="eastAsia"/>
          <w:snapToGrid w:val="0"/>
          <w:sz w:val="32"/>
          <w:szCs w:val="32"/>
        </w:rPr>
        <w:t>》《</w:t>
      </w:r>
      <w:r>
        <w:rPr>
          <w:rFonts w:ascii="仿宋" w:eastAsia="仿宋" w:hAnsi="仿宋" w:cs="仿宋" w:hint="eastAsia"/>
          <w:sz w:val="32"/>
          <w:szCs w:val="32"/>
        </w:rPr>
        <w:t>国务院办公厅关于加快医学教育创新发展的指导意见</w:t>
      </w:r>
      <w:r>
        <w:rPr>
          <w:rFonts w:ascii="仿宋" w:eastAsia="仿宋" w:hAnsi="仿宋" w:cs="仿宋" w:hint="eastAsia"/>
          <w:snapToGrid w:val="0"/>
          <w:sz w:val="32"/>
          <w:szCs w:val="32"/>
        </w:rPr>
        <w:t>》《</w:t>
      </w:r>
      <w:r>
        <w:rPr>
          <w:rFonts w:ascii="仿宋" w:eastAsia="仿宋" w:hAnsi="仿宋" w:cs="仿宋" w:hint="eastAsia"/>
          <w:sz w:val="32"/>
          <w:szCs w:val="32"/>
        </w:rPr>
        <w:t>深化新时代教育评价改革总体方案》</w:t>
      </w:r>
      <w:r>
        <w:rPr>
          <w:rFonts w:ascii="仿宋" w:eastAsia="仿宋" w:hAnsi="仿宋" w:cs="仿宋" w:hint="eastAsia"/>
          <w:kern w:val="2"/>
          <w:sz w:val="32"/>
          <w:szCs w:val="32"/>
        </w:rPr>
        <w:t>等文件精神，进一步深化教育教学改革，构建体现我校办学定位与特色的人才培养体系，培养和造就高素质的应用型人才，现就本科人才培养方案制定（修订）工作提出以下指导性意见，该意见自2021级学生开始实施：</w:t>
      </w:r>
    </w:p>
    <w:p w:rsidR="00DD2A37" w:rsidRDefault="00907DED" w:rsidP="000F00BD">
      <w:pPr>
        <w:pStyle w:val="a9"/>
        <w:adjustRightInd w:val="0"/>
        <w:ind w:firstLine="643"/>
        <w:jc w:val="both"/>
        <w:rPr>
          <w:rFonts w:ascii="仿宋" w:hAnsi="仿宋" w:cs="仿宋"/>
          <w:sz w:val="32"/>
        </w:rPr>
      </w:pPr>
      <w:bookmarkStart w:id="0" w:name="_Toc61786525"/>
      <w:r>
        <w:rPr>
          <w:rFonts w:ascii="仿宋" w:hAnsi="仿宋" w:cs="仿宋" w:hint="eastAsia"/>
          <w:sz w:val="32"/>
        </w:rPr>
        <w:t>一、指导思想</w:t>
      </w:r>
      <w:bookmarkEnd w:id="0"/>
    </w:p>
    <w:p w:rsidR="00DD2A37" w:rsidRDefault="00907DED">
      <w:pPr>
        <w:pStyle w:val="a8"/>
        <w:adjustRightInd w:val="0"/>
        <w:snapToGrid w:val="0"/>
        <w:spacing w:before="0" w:beforeAutospacing="0" w:after="0" w:afterAutospacing="0" w:line="360" w:lineRule="auto"/>
        <w:ind w:firstLineChars="200" w:firstLine="640"/>
        <w:jc w:val="both"/>
        <w:rPr>
          <w:rFonts w:ascii="仿宋" w:eastAsia="仿宋" w:hAnsi="仿宋" w:cs="仿宋"/>
          <w:kern w:val="10"/>
          <w:sz w:val="32"/>
          <w:szCs w:val="32"/>
        </w:rPr>
      </w:pPr>
      <w:r>
        <w:rPr>
          <w:rFonts w:ascii="仿宋" w:eastAsia="仿宋" w:hAnsi="仿宋" w:cs="仿宋" w:hint="eastAsia"/>
          <w:kern w:val="10"/>
          <w:sz w:val="32"/>
          <w:szCs w:val="32"/>
        </w:rPr>
        <w:t>以习近平新时代中国特色社会主义思想为指导，全面贯彻党的十九大精神和十九届二中、三中、四中、五中全会精神，全面贯彻党的教育方针，坚持立德树人，遵循高等教育基本规律和人才成长规律，主动适应国家社会经济发展需要，围绕服务“健康中国”战略，树立“大健康”理念，结合新工科、新医科、新农科、新文科（以下简称“四新”）建设要求，构建“交叉融通”的大类培养模式，加强救死扶伤的道术、心中有爱的仁术、知识扎实的学术、本领过硬的技术、</w:t>
      </w:r>
      <w:r>
        <w:rPr>
          <w:rFonts w:ascii="仿宋" w:eastAsia="仿宋" w:hAnsi="仿宋" w:cs="仿宋" w:hint="eastAsia"/>
          <w:kern w:val="10"/>
          <w:sz w:val="32"/>
          <w:szCs w:val="32"/>
        </w:rPr>
        <w:lastRenderedPageBreak/>
        <w:t>方法科学的艺术的教育，培养医德高尚、医术精湛的人民健康守护者。</w:t>
      </w:r>
    </w:p>
    <w:p w:rsidR="00DD2A37" w:rsidRDefault="00907DED" w:rsidP="000F00BD">
      <w:pPr>
        <w:pStyle w:val="a9"/>
        <w:adjustRightInd w:val="0"/>
        <w:ind w:firstLine="643"/>
        <w:jc w:val="both"/>
        <w:rPr>
          <w:rFonts w:ascii="仿宋" w:hAnsi="仿宋" w:cs="仿宋"/>
          <w:sz w:val="32"/>
        </w:rPr>
      </w:pPr>
      <w:bookmarkStart w:id="1" w:name="_Toc61786526"/>
      <w:r>
        <w:rPr>
          <w:rFonts w:ascii="仿宋" w:hAnsi="仿宋" w:cs="仿宋" w:hint="eastAsia"/>
          <w:sz w:val="32"/>
        </w:rPr>
        <w:t>二、培养目标</w:t>
      </w:r>
      <w:bookmarkEnd w:id="1"/>
    </w:p>
    <w:p w:rsidR="00DD2A37" w:rsidRDefault="00907DED" w:rsidP="000F00BD">
      <w:pPr>
        <w:pStyle w:val="2"/>
        <w:adjustRightInd w:val="0"/>
        <w:ind w:firstLine="643"/>
        <w:rPr>
          <w:rFonts w:ascii="仿宋" w:hAnsi="仿宋" w:cs="仿宋"/>
          <w:sz w:val="32"/>
        </w:rPr>
      </w:pPr>
      <w:bookmarkStart w:id="2" w:name="_Toc61786527"/>
      <w:r>
        <w:rPr>
          <w:rFonts w:ascii="仿宋" w:hAnsi="仿宋" w:cs="仿宋" w:hint="eastAsia"/>
          <w:sz w:val="32"/>
        </w:rPr>
        <w:t>（一）总体培养目标</w:t>
      </w:r>
      <w:bookmarkEnd w:id="2"/>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以立德树人为根本任务，立足于应用型、特色性和国际化的定位和要求，围绕“厚德至善、健行康民”校训，</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“人文+实践”DNA双螺旋人才培养理念，以学生发展为中心，全面加强学生“价值塑造、能力培养、知识传授”三位一体的培养，依托全科医学教育特色，以医学为主体，理、工、</w:t>
      </w:r>
      <w:proofErr w:type="gramStart"/>
      <w:r>
        <w:rPr>
          <w:rFonts w:ascii="仿宋" w:eastAsia="仿宋" w:hAnsi="仿宋" w:cs="仿宋" w:hint="eastAsia"/>
          <w:sz w:val="32"/>
          <w:szCs w:val="32"/>
        </w:rPr>
        <w:t>管协调</w:t>
      </w:r>
      <w:proofErr w:type="gramEnd"/>
      <w:r>
        <w:rPr>
          <w:rFonts w:ascii="仿宋" w:eastAsia="仿宋" w:hAnsi="仿宋" w:cs="仿宋" w:hint="eastAsia"/>
          <w:sz w:val="32"/>
          <w:szCs w:val="32"/>
        </w:rPr>
        <w:t>发展，构建</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工、医理、</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管等交叉融合、相互支撑、协同发展的学科体系和专业布局，突出</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工结合、</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保结合、</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养结合，培养医德高尚、医技娴熟、</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患和谐，具有行业引领潜质的，特色鲜明、实用性强、服务于临床医学和人类健康的专业人才。为基层培养输送“下得去、用得上、留得住、有发展”的医学人才。</w:t>
      </w:r>
    </w:p>
    <w:p w:rsidR="00DD2A37" w:rsidRDefault="00907DED" w:rsidP="000F00BD">
      <w:pPr>
        <w:pStyle w:val="2"/>
        <w:adjustRightInd w:val="0"/>
        <w:ind w:firstLine="643"/>
        <w:rPr>
          <w:rFonts w:ascii="仿宋" w:hAnsi="仿宋" w:cs="仿宋"/>
          <w:sz w:val="32"/>
        </w:rPr>
      </w:pPr>
      <w:bookmarkStart w:id="3" w:name="_Toc61786528"/>
      <w:r>
        <w:rPr>
          <w:rFonts w:ascii="仿宋" w:hAnsi="仿宋" w:cs="仿宋" w:hint="eastAsia"/>
          <w:sz w:val="32"/>
        </w:rPr>
        <w:t>（二）专业培养目标</w:t>
      </w:r>
      <w:bookmarkEnd w:id="3"/>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专业人才培养目标是专业人才培养方案修订的关键，也是学校总体人才培养目标的具体化体现。各专业要按照《普通高等学校本科专业类教学质量国家标准》</w:t>
      </w:r>
      <w:r w:rsidR="00A07AC1">
        <w:rPr>
          <w:rFonts w:ascii="仿宋" w:eastAsia="仿宋" w:hAnsi="仿宋" w:cs="仿宋" w:hint="eastAsia"/>
          <w:sz w:val="32"/>
          <w:szCs w:val="32"/>
        </w:rPr>
        <w:t>（以下简称《国标》）</w:t>
      </w:r>
      <w:r>
        <w:rPr>
          <w:rFonts w:ascii="仿宋" w:eastAsia="仿宋" w:hAnsi="仿宋" w:cs="仿宋" w:hint="eastAsia"/>
          <w:sz w:val="32"/>
          <w:szCs w:val="32"/>
        </w:rPr>
        <w:t>的要求和学校人才培养的总体目标，以及专业基础和学科特色，精心凝练和科学制定本专业可衡量的培养目标，体现本专业人才培养的特色与优势。</w:t>
      </w:r>
    </w:p>
    <w:p w:rsidR="00DD2A37" w:rsidRDefault="00907DED" w:rsidP="000F00BD">
      <w:pPr>
        <w:pStyle w:val="a9"/>
        <w:adjustRightInd w:val="0"/>
        <w:ind w:firstLine="643"/>
        <w:jc w:val="both"/>
        <w:rPr>
          <w:rFonts w:ascii="仿宋" w:hAnsi="仿宋" w:cs="仿宋"/>
          <w:sz w:val="32"/>
        </w:rPr>
      </w:pPr>
      <w:bookmarkStart w:id="4" w:name="_Toc61786529"/>
      <w:r>
        <w:rPr>
          <w:rFonts w:ascii="仿宋" w:hAnsi="仿宋" w:cs="仿宋" w:hint="eastAsia"/>
          <w:sz w:val="32"/>
        </w:rPr>
        <w:lastRenderedPageBreak/>
        <w:t>三、基本原则</w:t>
      </w:r>
      <w:bookmarkEnd w:id="4"/>
    </w:p>
    <w:p w:rsidR="00DD2A37" w:rsidRDefault="00907DED" w:rsidP="000F00BD">
      <w:pPr>
        <w:pStyle w:val="2"/>
        <w:adjustRightInd w:val="0"/>
        <w:ind w:firstLine="643"/>
        <w:rPr>
          <w:rFonts w:ascii="仿宋" w:hAnsi="仿宋" w:cs="仿宋"/>
          <w:sz w:val="32"/>
        </w:rPr>
      </w:pPr>
      <w:bookmarkStart w:id="5" w:name="_Toc61786530"/>
      <w:r>
        <w:rPr>
          <w:rFonts w:ascii="仿宋" w:hAnsi="仿宋" w:cs="仿宋" w:hint="eastAsia"/>
          <w:sz w:val="32"/>
        </w:rPr>
        <w:t>（一）守</w:t>
      </w:r>
      <w:proofErr w:type="gramStart"/>
      <w:r>
        <w:rPr>
          <w:rFonts w:ascii="仿宋" w:hAnsi="仿宋" w:cs="仿宋" w:hint="eastAsia"/>
          <w:sz w:val="32"/>
        </w:rPr>
        <w:t>正创新</w:t>
      </w:r>
      <w:proofErr w:type="gramEnd"/>
      <w:r>
        <w:rPr>
          <w:rFonts w:ascii="仿宋" w:hAnsi="仿宋" w:cs="仿宋" w:hint="eastAsia"/>
          <w:sz w:val="32"/>
        </w:rPr>
        <w:t>原则</w:t>
      </w:r>
      <w:bookmarkEnd w:id="5"/>
    </w:p>
    <w:p w:rsidR="00DD2A37" w:rsidRDefault="00907DED">
      <w:pPr>
        <w:pStyle w:val="a8"/>
        <w:adjustRightInd w:val="0"/>
        <w:snapToGrid w:val="0"/>
        <w:spacing w:before="0" w:beforeAutospacing="0" w:after="0" w:afterAutospacing="0" w:line="360" w:lineRule="auto"/>
        <w:ind w:firstLineChars="200" w:firstLine="640"/>
        <w:jc w:val="both"/>
        <w:rPr>
          <w:rFonts w:ascii="仿宋" w:eastAsia="仿宋" w:hAnsi="仿宋" w:cs="仿宋"/>
          <w:sz w:val="32"/>
          <w:szCs w:val="32"/>
        </w:rPr>
      </w:pPr>
      <w:r>
        <w:rPr>
          <w:rFonts w:ascii="仿宋" w:eastAsia="仿宋" w:hAnsi="仿宋" w:cs="仿宋" w:hint="eastAsia"/>
          <w:sz w:val="32"/>
          <w:szCs w:val="32"/>
        </w:rPr>
        <w:t>各专业人才培养方案要坚持和体现党的各项教育方针、政策要求，确保方向性。要遵循人才培养规律，兼顾科学性与合理性。</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深入贯彻落实新时代全国高校本科教育工作会议等会议精神，统筹考虑各专业的新要求，把“四新”建设理念有机融入专业人才培养方案。在培养理念、培养目标、课程体系、教学内容及考核方式等方面，进行优化调整，打造智慧新医科、健康新工科。</w:t>
      </w:r>
    </w:p>
    <w:p w:rsidR="00DD2A37" w:rsidRDefault="00907DED" w:rsidP="000F00BD">
      <w:pPr>
        <w:pStyle w:val="2"/>
        <w:adjustRightInd w:val="0"/>
        <w:ind w:firstLine="643"/>
        <w:rPr>
          <w:rFonts w:ascii="仿宋" w:hAnsi="仿宋" w:cs="仿宋"/>
          <w:sz w:val="32"/>
        </w:rPr>
      </w:pPr>
      <w:bookmarkStart w:id="6" w:name="_Toc61786531"/>
      <w:r>
        <w:rPr>
          <w:rFonts w:ascii="仿宋" w:hAnsi="仿宋" w:cs="仿宋" w:hint="eastAsia"/>
          <w:sz w:val="32"/>
        </w:rPr>
        <w:t>（二）产出导向原则</w:t>
      </w:r>
      <w:bookmarkEnd w:id="6"/>
    </w:p>
    <w:p w:rsidR="00DD2A37" w:rsidRDefault="00907DE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结合我校为培养符合地方卫生健康事业发展需求人才的总目标，融入产出导向教育理念，认真分析国家、上海经济社会发展、行业需求和本专业学生就业状况，结合学校办学定位，科学设定人才培养目标和毕业要求。将“学生中心、产出导向、持续改进”理念贯穿人才培养全过程。</w:t>
      </w:r>
    </w:p>
    <w:p w:rsidR="00DD2A37" w:rsidRDefault="00907DED" w:rsidP="000F00BD">
      <w:pPr>
        <w:pStyle w:val="2"/>
        <w:adjustRightInd w:val="0"/>
        <w:ind w:firstLine="643"/>
        <w:rPr>
          <w:rFonts w:ascii="仿宋" w:hAnsi="仿宋" w:cs="仿宋"/>
          <w:sz w:val="32"/>
        </w:rPr>
      </w:pPr>
      <w:bookmarkStart w:id="7" w:name="_Toc61786532"/>
      <w:r>
        <w:rPr>
          <w:rFonts w:ascii="仿宋" w:hAnsi="仿宋" w:cs="仿宋" w:hint="eastAsia"/>
          <w:sz w:val="32"/>
        </w:rPr>
        <w:t>（三）面向未来原则</w:t>
      </w:r>
      <w:bookmarkEnd w:id="7"/>
    </w:p>
    <w:p w:rsidR="00DD2A37" w:rsidRDefault="00907DE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依据《中国教育现代化2035》及全国教育大会精神，以新发展理念为指引，根据当前社会经济建设和发展，对未来五至十年的经济社会发展对医学人才知识结构和素质提出的新要求，进行前瞻设计，培养学生具备适应终身发展和未来经济建设与社会发展需要的必备品格和关键能力。</w:t>
      </w:r>
    </w:p>
    <w:p w:rsidR="00DD2A37" w:rsidRDefault="00907DED" w:rsidP="000F00BD">
      <w:pPr>
        <w:pStyle w:val="a9"/>
        <w:adjustRightInd w:val="0"/>
        <w:ind w:firstLine="643"/>
        <w:jc w:val="both"/>
        <w:rPr>
          <w:rFonts w:ascii="仿宋" w:hAnsi="仿宋" w:cs="仿宋"/>
          <w:sz w:val="32"/>
        </w:rPr>
      </w:pPr>
      <w:bookmarkStart w:id="8" w:name="_Toc61786533"/>
      <w:r>
        <w:rPr>
          <w:rFonts w:ascii="仿宋" w:hAnsi="仿宋" w:cs="仿宋" w:hint="eastAsia"/>
          <w:sz w:val="32"/>
        </w:rPr>
        <w:lastRenderedPageBreak/>
        <w:t>四、工作重点</w:t>
      </w:r>
      <w:bookmarkEnd w:id="8"/>
    </w:p>
    <w:p w:rsidR="00DD2A37" w:rsidRDefault="00907DED" w:rsidP="000F00BD">
      <w:pPr>
        <w:pStyle w:val="2"/>
        <w:adjustRightInd w:val="0"/>
        <w:ind w:firstLine="643"/>
        <w:rPr>
          <w:rFonts w:ascii="仿宋" w:hAnsi="仿宋" w:cs="仿宋"/>
          <w:sz w:val="32"/>
        </w:rPr>
      </w:pPr>
      <w:bookmarkStart w:id="9" w:name="_Toc61786534"/>
      <w:r>
        <w:rPr>
          <w:rFonts w:ascii="仿宋" w:hAnsi="仿宋" w:cs="仿宋" w:hint="eastAsia"/>
          <w:sz w:val="32"/>
        </w:rPr>
        <w:t>（一）坚持立德树人，培养德</w:t>
      </w:r>
      <w:proofErr w:type="gramStart"/>
      <w:r>
        <w:rPr>
          <w:rFonts w:ascii="仿宋" w:hAnsi="仿宋" w:cs="仿宋" w:hint="eastAsia"/>
          <w:sz w:val="32"/>
        </w:rPr>
        <w:t>医</w:t>
      </w:r>
      <w:proofErr w:type="gramEnd"/>
      <w:r>
        <w:rPr>
          <w:rFonts w:ascii="仿宋" w:hAnsi="仿宋" w:cs="仿宋" w:hint="eastAsia"/>
          <w:sz w:val="32"/>
        </w:rPr>
        <w:t>兼修医学人才</w:t>
      </w:r>
      <w:bookmarkEnd w:id="9"/>
    </w:p>
    <w:p w:rsidR="00DD2A37" w:rsidRDefault="00907DED">
      <w:pPr>
        <w:widowControl/>
        <w:adjustRightInd w:val="0"/>
        <w:snapToGrid w:val="0"/>
        <w:spacing w:line="360" w:lineRule="auto"/>
        <w:ind w:firstLineChars="200" w:firstLine="640"/>
        <w:rPr>
          <w:rFonts w:ascii="仿宋" w:eastAsia="仿宋" w:hAnsi="仿宋" w:cs="仿宋"/>
          <w:kern w:val="10"/>
          <w:sz w:val="32"/>
          <w:szCs w:val="32"/>
        </w:rPr>
      </w:pPr>
      <w:r>
        <w:rPr>
          <w:rFonts w:ascii="仿宋" w:eastAsia="仿宋" w:hAnsi="仿宋" w:cs="仿宋" w:hint="eastAsia"/>
          <w:kern w:val="10"/>
          <w:sz w:val="32"/>
          <w:szCs w:val="32"/>
        </w:rPr>
        <w:t>全面贯彻党和国家培养德智体美劳全面发展的社会主义事业建设者和接班人的总要求，认真落实教育部关于加强大学生思想政治教育、创新创业教育、国防教育、体育教育、美育教育和劳动教育的文件精神，设置思想政治理论课、军事理论、体育和劳动教育等通识必修课程，推进习近平新时代中国特色社会主义思想进教材进课堂进头脑，注重课程育人，把思想品</w:t>
      </w:r>
      <w:r>
        <w:rPr>
          <w:rFonts w:ascii="仿宋" w:eastAsia="仿宋" w:hAnsi="仿宋" w:cs="仿宋" w:hint="eastAsia"/>
          <w:sz w:val="32"/>
          <w:szCs w:val="32"/>
        </w:rPr>
        <w:t>德、科学精神、人文素养、健康人格教育和创新实践能力的培养贯穿于人才培养的全过程，</w:t>
      </w:r>
      <w:r>
        <w:rPr>
          <w:rFonts w:ascii="仿宋" w:eastAsia="仿宋" w:hAnsi="仿宋" w:cs="仿宋" w:hint="eastAsia"/>
          <w:kern w:val="10"/>
          <w:sz w:val="32"/>
          <w:szCs w:val="32"/>
        </w:rPr>
        <w:t>全面提升学生思想水平、政治觉悟、道德品质和综合素养。</w:t>
      </w:r>
    </w:p>
    <w:p w:rsidR="00DD2A37" w:rsidRDefault="00907DED" w:rsidP="000F00BD">
      <w:pPr>
        <w:pStyle w:val="2"/>
        <w:adjustRightInd w:val="0"/>
        <w:ind w:firstLine="643"/>
        <w:rPr>
          <w:rFonts w:ascii="仿宋" w:hAnsi="仿宋" w:cs="仿宋"/>
          <w:kern w:val="10"/>
          <w:sz w:val="32"/>
        </w:rPr>
      </w:pPr>
      <w:bookmarkStart w:id="10" w:name="_Toc61786535"/>
      <w:r>
        <w:rPr>
          <w:rFonts w:ascii="仿宋" w:hAnsi="仿宋" w:cs="仿宋" w:hint="eastAsia"/>
          <w:kern w:val="10"/>
          <w:sz w:val="32"/>
        </w:rPr>
        <w:t>（二）强化标准引领，提高医学人才培养质量</w:t>
      </w:r>
      <w:bookmarkEnd w:id="10"/>
    </w:p>
    <w:p w:rsidR="00DD2A37" w:rsidRDefault="00907DED">
      <w:pPr>
        <w:adjustRightInd w:val="0"/>
        <w:snapToGrid w:val="0"/>
        <w:spacing w:line="360" w:lineRule="auto"/>
        <w:ind w:firstLineChars="200" w:firstLine="640"/>
        <w:rPr>
          <w:rFonts w:ascii="仿宋" w:eastAsia="仿宋" w:hAnsi="仿宋" w:cs="仿宋"/>
          <w:kern w:val="10"/>
          <w:sz w:val="32"/>
          <w:szCs w:val="32"/>
        </w:rPr>
      </w:pPr>
      <w:r>
        <w:rPr>
          <w:rFonts w:ascii="仿宋" w:eastAsia="仿宋" w:hAnsi="仿宋" w:cs="仿宋" w:hint="eastAsia"/>
          <w:kern w:val="10"/>
          <w:sz w:val="32"/>
          <w:szCs w:val="32"/>
        </w:rPr>
        <w:t>对接《普通高等学校本科专业类教学质量国家标准》。所有专业应以《国标》为基准，以国内外专业认证标准（工程教育认证标准、医学类专业认证标准等）为依据，制定明确的培养目标和毕业能力要求。同时，</w:t>
      </w:r>
      <w:r>
        <w:rPr>
          <w:rFonts w:ascii="仿宋" w:eastAsia="仿宋" w:hAnsi="仿宋" w:cs="仿宋" w:hint="eastAsia"/>
          <w:bCs/>
          <w:sz w:val="32"/>
          <w:szCs w:val="32"/>
        </w:rPr>
        <w:t>对标《国际》，不断完善主要教学环节质量标准和</w:t>
      </w:r>
      <w:r>
        <w:rPr>
          <w:rFonts w:ascii="仿宋" w:eastAsia="仿宋" w:hAnsi="仿宋" w:cs="仿宋" w:hint="eastAsia"/>
          <w:kern w:val="10"/>
          <w:sz w:val="32"/>
          <w:szCs w:val="32"/>
        </w:rPr>
        <w:t>人才培养质量监控机制，形成教学质量监督、信息收集与分析、信息反馈、质量改进的循环闭合质量保证运行机制。打造健康底蕴质量文化，促进人才培养质量全面提高。</w:t>
      </w:r>
    </w:p>
    <w:p w:rsidR="00DD2A37" w:rsidRDefault="00907DED" w:rsidP="000F00BD">
      <w:pPr>
        <w:pStyle w:val="2"/>
        <w:adjustRightInd w:val="0"/>
        <w:ind w:firstLine="643"/>
        <w:rPr>
          <w:rFonts w:ascii="仿宋" w:hAnsi="仿宋" w:cs="仿宋"/>
          <w:kern w:val="10"/>
          <w:sz w:val="32"/>
        </w:rPr>
      </w:pPr>
      <w:bookmarkStart w:id="11" w:name="_Toc61786536"/>
      <w:r>
        <w:rPr>
          <w:rFonts w:ascii="仿宋" w:hAnsi="仿宋" w:cs="仿宋" w:hint="eastAsia"/>
          <w:kern w:val="10"/>
          <w:sz w:val="32"/>
        </w:rPr>
        <w:lastRenderedPageBreak/>
        <w:t>（三）试点大类培养，搭建科学合理课程体系</w:t>
      </w:r>
      <w:bookmarkEnd w:id="11"/>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kern w:val="10"/>
          <w:sz w:val="32"/>
          <w:szCs w:val="32"/>
        </w:rPr>
        <w:t>结合学校学科专业特点，用智慧新医科、健康新工科理念优化专</w:t>
      </w:r>
      <w:r>
        <w:rPr>
          <w:rFonts w:ascii="仿宋" w:eastAsia="仿宋" w:hAnsi="仿宋" w:cs="仿宋" w:hint="eastAsia"/>
          <w:sz w:val="32"/>
          <w:szCs w:val="32"/>
        </w:rPr>
        <w:t>业培养方案，探索多元化人才培养模式改革。以医学技术类、医疗器械</w:t>
      </w:r>
      <w:proofErr w:type="gramStart"/>
      <w:r>
        <w:rPr>
          <w:rFonts w:ascii="仿宋" w:eastAsia="仿宋" w:hAnsi="仿宋" w:cs="仿宋" w:hint="eastAsia"/>
          <w:sz w:val="32"/>
          <w:szCs w:val="32"/>
        </w:rPr>
        <w:t>类条件</w:t>
      </w:r>
      <w:proofErr w:type="gramEnd"/>
      <w:r>
        <w:rPr>
          <w:rFonts w:ascii="仿宋" w:eastAsia="仿宋" w:hAnsi="仿宋" w:cs="仿宋" w:hint="eastAsia"/>
          <w:sz w:val="32"/>
          <w:szCs w:val="32"/>
        </w:rPr>
        <w:t>成熟的学科专业为试点，逐步推进专业招生大类培养模式。改革与</w:t>
      </w:r>
      <w:proofErr w:type="gramStart"/>
      <w:r>
        <w:rPr>
          <w:rFonts w:ascii="仿宋" w:eastAsia="仿宋" w:hAnsi="仿宋" w:cs="仿宋" w:hint="eastAsia"/>
          <w:sz w:val="32"/>
          <w:szCs w:val="32"/>
        </w:rPr>
        <w:t>完善通</w:t>
      </w:r>
      <w:proofErr w:type="gramEnd"/>
      <w:r>
        <w:rPr>
          <w:rFonts w:ascii="仿宋" w:eastAsia="仿宋" w:hAnsi="仿宋" w:cs="仿宋" w:hint="eastAsia"/>
          <w:sz w:val="32"/>
          <w:szCs w:val="32"/>
        </w:rPr>
        <w:t>识课程、学科门类基础课程和专业大类基础课程。根据专业特点和社会需求，以学生学习成果为导向，设计课程体系结构与课程教学内容，明确课程内容、知识点对培养目标和毕业要求的支撑度和达成度，明晰每门课程应承载的知识、能力和素质要求。确保行业胜任力、培养目标、毕业要求、课程体系及教学内容之间具有良好的对应关系。</w:t>
      </w:r>
    </w:p>
    <w:p w:rsidR="00DD2A37" w:rsidRDefault="00907DED" w:rsidP="000F00BD">
      <w:pPr>
        <w:pStyle w:val="2"/>
        <w:adjustRightInd w:val="0"/>
        <w:ind w:firstLine="643"/>
        <w:rPr>
          <w:rFonts w:ascii="仿宋" w:hAnsi="仿宋" w:cs="仿宋"/>
          <w:kern w:val="10"/>
          <w:sz w:val="32"/>
        </w:rPr>
      </w:pPr>
      <w:bookmarkStart w:id="12" w:name="_Toc61786537"/>
      <w:r>
        <w:rPr>
          <w:rFonts w:ascii="仿宋" w:hAnsi="仿宋" w:cs="仿宋" w:hint="eastAsia"/>
          <w:kern w:val="10"/>
          <w:sz w:val="32"/>
        </w:rPr>
        <w:t>（四）构建4NM体系，打造健康特色“金牌”课程</w:t>
      </w:r>
      <w:bookmarkEnd w:id="12"/>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构建符合专业、经济社会和学生个性发展需要的、多样化的、“4平台+N模块+M特色”（以下简称“4NM”）的课程体系。通过“4NM”结构的课程设置，实施宽口径、厚基础、重应用培养。即前期打好通识、学科宽厚基础，后期按行业需求变化及个性化要求，突出专业、应用及交叉学科的培养。</w:t>
      </w:r>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平台”保证人才的基本规格和层次要求，包括通识教育平台、学科教育平台、专业教育平台、跨学科拓展平台。“N模块”，即将一个学科的教学活动组合成不同的主题式教学单位（即模块）。每个模块都制订各自的教学目标，有</w:t>
      </w:r>
      <w:r>
        <w:rPr>
          <w:rFonts w:ascii="仿宋" w:eastAsia="仿宋" w:hAnsi="仿宋" w:cs="仿宋" w:hint="eastAsia"/>
          <w:sz w:val="32"/>
          <w:szCs w:val="32"/>
        </w:rPr>
        <w:lastRenderedPageBreak/>
        <w:t>针对性地设置模块内课程，各个教学模块之间层层递进、环环相扣。“M特色”，即打造“M”</w:t>
      </w:r>
      <w:proofErr w:type="gramStart"/>
      <w:r>
        <w:rPr>
          <w:rFonts w:ascii="仿宋" w:eastAsia="仿宋" w:hAnsi="仿宋" w:cs="仿宋" w:hint="eastAsia"/>
          <w:sz w:val="32"/>
          <w:szCs w:val="32"/>
        </w:rPr>
        <w:t>个</w:t>
      </w:r>
      <w:proofErr w:type="gramEnd"/>
      <w:r>
        <w:rPr>
          <w:rFonts w:ascii="仿宋" w:eastAsia="仿宋" w:hAnsi="仿宋" w:cs="仿宋" w:hint="eastAsia"/>
          <w:sz w:val="32"/>
          <w:szCs w:val="32"/>
        </w:rPr>
        <w:t>专业核心课，是各专业根据人才培养目标，凝练的最重要的专业必修课程，是以该专业</w:t>
      </w:r>
      <w:proofErr w:type="gramStart"/>
      <w:r>
        <w:rPr>
          <w:rFonts w:ascii="仿宋" w:eastAsia="仿宋" w:hAnsi="仿宋" w:cs="仿宋" w:hint="eastAsia"/>
          <w:sz w:val="32"/>
          <w:szCs w:val="32"/>
        </w:rPr>
        <w:t>最</w:t>
      </w:r>
      <w:proofErr w:type="gramEnd"/>
      <w:r>
        <w:rPr>
          <w:rFonts w:ascii="仿宋" w:eastAsia="仿宋" w:hAnsi="仿宋" w:cs="仿宋" w:hint="eastAsia"/>
          <w:sz w:val="32"/>
          <w:szCs w:val="32"/>
        </w:rPr>
        <w:t>核心的理论知识和技能为主要内容的课程。通过实施“@上健</w:t>
      </w:r>
      <w:proofErr w:type="gramStart"/>
      <w:r>
        <w:rPr>
          <w:rFonts w:ascii="仿宋" w:eastAsia="仿宋" w:hAnsi="仿宋" w:cs="仿宋" w:hint="eastAsia"/>
          <w:sz w:val="32"/>
          <w:szCs w:val="32"/>
        </w:rPr>
        <w:t>医</w:t>
      </w:r>
      <w:proofErr w:type="gramEnd"/>
      <w:r>
        <w:rPr>
          <w:rFonts w:ascii="仿宋" w:eastAsia="仿宋" w:hAnsi="仿宋" w:cs="仿宋" w:hint="eastAsia"/>
          <w:sz w:val="32"/>
          <w:szCs w:val="32"/>
        </w:rPr>
        <w:t>”课程建设的强基、拔尖、显特工程，整合课程、精简课时，淘汰“水课”，打造一批健康“金牌”课程，形成具有健康特色、多类型、多样化的一流本科课程体系。</w:t>
      </w:r>
    </w:p>
    <w:p w:rsidR="00DD2A37" w:rsidRDefault="00907DED" w:rsidP="000F00BD">
      <w:pPr>
        <w:pStyle w:val="2"/>
        <w:adjustRightInd w:val="0"/>
        <w:ind w:firstLine="643"/>
        <w:rPr>
          <w:rFonts w:ascii="仿宋" w:hAnsi="仿宋" w:cs="仿宋"/>
          <w:kern w:val="10"/>
          <w:sz w:val="32"/>
        </w:rPr>
      </w:pPr>
      <w:bookmarkStart w:id="13" w:name="_Toc61786538"/>
      <w:r>
        <w:rPr>
          <w:rFonts w:ascii="仿宋" w:hAnsi="仿宋" w:cs="仿宋" w:hint="eastAsia"/>
          <w:kern w:val="10"/>
          <w:sz w:val="32"/>
        </w:rPr>
        <w:t>（五）深化教学改革，探索新型课堂教学模式</w:t>
      </w:r>
      <w:bookmarkEnd w:id="13"/>
    </w:p>
    <w:p w:rsidR="00DD2A37" w:rsidRDefault="00907DE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积极响应教育部对在线教育从“新鲜感”向“新常态”转变要求，充分利用网络在线教学优势，让在线课堂成为知识传授的重要渠道。结合线上课程资源及学科特点，深入改革课堂教学方法，积极开展课堂教学创新。进一步深化五轨并行</w:t>
      </w:r>
      <w:r>
        <w:rPr>
          <w:rStyle w:val="ac"/>
          <w:rFonts w:ascii="仿宋" w:eastAsia="仿宋" w:hAnsi="仿宋" w:cs="仿宋" w:hint="eastAsia"/>
          <w:sz w:val="32"/>
          <w:szCs w:val="32"/>
        </w:rPr>
        <w:footnoteReference w:id="1"/>
      </w:r>
      <w:r>
        <w:rPr>
          <w:rFonts w:ascii="仿宋" w:eastAsia="仿宋" w:hAnsi="仿宋" w:cs="仿宋" w:hint="eastAsia"/>
          <w:sz w:val="32"/>
          <w:szCs w:val="32"/>
        </w:rPr>
        <w:t>教学模式，全面</w:t>
      </w:r>
      <w:r>
        <w:rPr>
          <w:rFonts w:ascii="仿宋" w:eastAsia="仿宋" w:hAnsi="仿宋" w:cs="仿宋" w:hint="eastAsia"/>
          <w:kern w:val="0"/>
          <w:sz w:val="32"/>
          <w:szCs w:val="32"/>
        </w:rPr>
        <w:t>推行混合式教学、翻转课堂、对分课堂等教学模式。积极引导学生进行自主、合作、探究式学习，强化学生的自学能力、应用能力、沟通能力、合作能力。</w:t>
      </w:r>
    </w:p>
    <w:p w:rsidR="00DD2A37" w:rsidRDefault="00907DED">
      <w:pPr>
        <w:adjustRightInd w:val="0"/>
        <w:snapToGrid w:val="0"/>
        <w:spacing w:line="360" w:lineRule="auto"/>
        <w:ind w:firstLineChars="200" w:firstLine="643"/>
        <w:rPr>
          <w:rFonts w:ascii="仿宋" w:eastAsia="仿宋" w:hAnsi="仿宋" w:cs="仿宋"/>
          <w:b/>
          <w:bCs/>
          <w:sz w:val="32"/>
          <w:szCs w:val="32"/>
        </w:rPr>
      </w:pPr>
      <w:r>
        <w:rPr>
          <w:rFonts w:ascii="仿宋" w:eastAsia="仿宋" w:hAnsi="仿宋" w:cs="仿宋" w:hint="eastAsia"/>
          <w:b/>
          <w:bCs/>
          <w:sz w:val="32"/>
          <w:szCs w:val="32"/>
        </w:rPr>
        <w:t>（六）提</w:t>
      </w:r>
      <w:proofErr w:type="gramStart"/>
      <w:r>
        <w:rPr>
          <w:rFonts w:ascii="仿宋" w:eastAsia="仿宋" w:hAnsi="仿宋" w:cs="仿宋" w:hint="eastAsia"/>
          <w:b/>
          <w:bCs/>
          <w:sz w:val="32"/>
          <w:szCs w:val="32"/>
        </w:rPr>
        <w:t>质实践</w:t>
      </w:r>
      <w:proofErr w:type="gramEnd"/>
      <w:r>
        <w:rPr>
          <w:rFonts w:ascii="仿宋" w:eastAsia="仿宋" w:hAnsi="仿宋" w:cs="仿宋" w:hint="eastAsia"/>
          <w:b/>
          <w:bCs/>
          <w:sz w:val="32"/>
          <w:szCs w:val="32"/>
        </w:rPr>
        <w:t>教学，优化创新创业教育生态</w:t>
      </w:r>
    </w:p>
    <w:p w:rsidR="00DD2A37" w:rsidRDefault="00907DED">
      <w:pPr>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进一步推进实验教学改革，探索校企、校所、校</w:t>
      </w:r>
      <w:proofErr w:type="gramStart"/>
      <w:r>
        <w:rPr>
          <w:rFonts w:ascii="仿宋" w:eastAsia="仿宋" w:hAnsi="仿宋" w:cs="仿宋" w:hint="eastAsia"/>
          <w:kern w:val="0"/>
          <w:sz w:val="32"/>
          <w:szCs w:val="32"/>
        </w:rPr>
        <w:t>校</w:t>
      </w:r>
      <w:proofErr w:type="gramEnd"/>
      <w:r>
        <w:rPr>
          <w:rFonts w:ascii="仿宋" w:eastAsia="仿宋" w:hAnsi="仿宋" w:cs="仿宋" w:hint="eastAsia"/>
          <w:kern w:val="0"/>
          <w:sz w:val="32"/>
          <w:szCs w:val="32"/>
        </w:rPr>
        <w:t>合作开发网络化、虚拟化教学资源，推进综合性设计性探究性实验改革。将“早临床、多临床、反复临床”的理念贯穿人才培养方案。强化实习过程管理，实现实习教学任务“六个统一”；健全实习综合评价，实现实习课堂管理“同质推进”；</w:t>
      </w:r>
      <w:r>
        <w:rPr>
          <w:rFonts w:ascii="仿宋" w:eastAsia="仿宋" w:hAnsi="仿宋" w:cs="仿宋" w:hint="eastAsia"/>
          <w:kern w:val="0"/>
          <w:sz w:val="32"/>
          <w:szCs w:val="32"/>
        </w:rPr>
        <w:lastRenderedPageBreak/>
        <w:t>建设实习质量文化，推动实践教学基地“减量增质”。医学类专业以整班制、医学相关类专业以提高同质化建设为目标开展实践教学。</w:t>
      </w:r>
    </w:p>
    <w:p w:rsidR="00DD2A37" w:rsidRDefault="00907DED">
      <w:pPr>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强化学生实践动手能力和创新精神的培养。以《上海健康医学院大学生创新创业学分管理办法(试行)》为依据，设计本专业学生创新创业“项目鱼塘”，加强过程管理和质量把控，助力创新创业教育融入智慧新医科、健康新工科应用型创新性人才培养的全过程。</w:t>
      </w:r>
    </w:p>
    <w:p w:rsidR="00DD2A37" w:rsidRDefault="00907DED">
      <w:pPr>
        <w:adjustRightInd w:val="0"/>
        <w:snapToGrid w:val="0"/>
        <w:spacing w:line="360" w:lineRule="auto"/>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（七）提升教学质量，推进学年学分制度改革</w:t>
      </w:r>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加大学年学分制管理力度，积极推进以学分制为核心的教学管理改革。在课程体系中增加跨学科拓展课程，扩大选修课学分占比，优化课程修读学分认定和转换原则，推进联合培养学分互认，搭建校内学分存储、认定和转换平台，畅通校内、校外教育之间的转换通道，为学生取得学历、终身学习和就业提供服务。坚持以本为本，引导学生实现多样化和个性化发展，完善教学激励机制，充分调动教师与学生教与学的积极性，进一步提高教学质量。</w:t>
      </w:r>
    </w:p>
    <w:p w:rsidR="00DD2A37" w:rsidRDefault="00907DED" w:rsidP="000F00BD">
      <w:pPr>
        <w:pStyle w:val="2"/>
        <w:adjustRightInd w:val="0"/>
        <w:ind w:firstLine="643"/>
        <w:rPr>
          <w:rFonts w:ascii="仿宋" w:hAnsi="仿宋" w:cs="仿宋"/>
          <w:sz w:val="32"/>
        </w:rPr>
      </w:pPr>
      <w:bookmarkStart w:id="14" w:name="_Toc61786539"/>
      <w:r>
        <w:rPr>
          <w:rFonts w:ascii="仿宋" w:hAnsi="仿宋" w:cs="仿宋" w:hint="eastAsia"/>
          <w:sz w:val="32"/>
        </w:rPr>
        <w:t>（八）改进评价方式，构建多维立体考核体系</w:t>
      </w:r>
      <w:bookmarkEnd w:id="14"/>
    </w:p>
    <w:p w:rsidR="00DD2A37" w:rsidRDefault="00907DED">
      <w:pPr>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推进形成性评价、过程化考核在学校范围内推广实施，打造师生共同体。以目标为导向，</w:t>
      </w:r>
      <w:r>
        <w:rPr>
          <w:rFonts w:ascii="仿宋" w:eastAsia="仿宋" w:hAnsi="仿宋" w:cs="仿宋" w:hint="eastAsia"/>
          <w:kern w:val="0"/>
          <w:sz w:val="32"/>
          <w:szCs w:val="32"/>
        </w:rPr>
        <w:t>完善课程考核评价机制，科学设计考核方式、考核内容和考核过程，</w:t>
      </w:r>
      <w:r>
        <w:rPr>
          <w:rFonts w:ascii="仿宋" w:eastAsia="仿宋" w:hAnsi="仿宋" w:cs="仿宋" w:hint="eastAsia"/>
          <w:sz w:val="32"/>
          <w:szCs w:val="32"/>
        </w:rPr>
        <w:t>构建“多个阶段、多种形式”的多维立体过程评价，形成一套更加科学合理，</w:t>
      </w:r>
      <w:r>
        <w:rPr>
          <w:rFonts w:ascii="仿宋" w:eastAsia="仿宋" w:hAnsi="仿宋" w:cs="仿宋" w:hint="eastAsia"/>
          <w:sz w:val="32"/>
          <w:szCs w:val="32"/>
        </w:rPr>
        <w:lastRenderedPageBreak/>
        <w:t>更加符合应用型人才培养要求，更加有利于全面评价学生学习成效的课程评价制度和考核体系。</w:t>
      </w:r>
    </w:p>
    <w:p w:rsidR="00DD2A37" w:rsidRDefault="00907DED" w:rsidP="000F00BD">
      <w:pPr>
        <w:pStyle w:val="a9"/>
        <w:adjustRightInd w:val="0"/>
        <w:ind w:firstLine="643"/>
        <w:jc w:val="both"/>
        <w:rPr>
          <w:rFonts w:ascii="仿宋" w:hAnsi="仿宋" w:cs="仿宋"/>
          <w:sz w:val="32"/>
        </w:rPr>
      </w:pPr>
      <w:bookmarkStart w:id="15" w:name="_Toc61786540"/>
      <w:r>
        <w:rPr>
          <w:rFonts w:ascii="仿宋" w:hAnsi="仿宋" w:cs="仿宋" w:hint="eastAsia"/>
          <w:sz w:val="32"/>
        </w:rPr>
        <w:t>五、培养体系</w:t>
      </w:r>
      <w:bookmarkEnd w:id="15"/>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2021</w:t>
      </w:r>
      <w:proofErr w:type="gramStart"/>
      <w:r>
        <w:rPr>
          <w:rFonts w:ascii="仿宋" w:eastAsia="仿宋" w:hAnsi="仿宋" w:cs="仿宋" w:hint="eastAsia"/>
          <w:kern w:val="0"/>
          <w:sz w:val="32"/>
          <w:szCs w:val="32"/>
        </w:rPr>
        <w:t>版人才</w:t>
      </w:r>
      <w:proofErr w:type="gramEnd"/>
      <w:r>
        <w:rPr>
          <w:rFonts w:ascii="仿宋" w:eastAsia="仿宋" w:hAnsi="仿宋" w:cs="仿宋" w:hint="eastAsia"/>
          <w:kern w:val="0"/>
          <w:sz w:val="32"/>
          <w:szCs w:val="32"/>
        </w:rPr>
        <w:t>培养方案课程体系设置体现“宽口径，多层次，多模块”的原则，构建“4平台＋N模块”的结构形式，包括：通识教育平台、学科教育平台、专业教育平台、跨学科拓展平台。平台中课程包括必修和选修两部分。</w:t>
      </w:r>
    </w:p>
    <w:p w:rsidR="00DD2A37" w:rsidRDefault="00907DED">
      <w:pPr>
        <w:widowControl/>
        <w:jc w:val="center"/>
        <w:rPr>
          <w:rFonts w:ascii="仿宋" w:eastAsia="仿宋" w:hAnsi="仿宋" w:cs="仿宋"/>
          <w:kern w:val="0"/>
          <w:sz w:val="24"/>
        </w:rPr>
      </w:pPr>
      <w:r>
        <w:rPr>
          <w:rFonts w:ascii="仿宋" w:eastAsia="仿宋" w:hAnsi="仿宋" w:cs="仿宋" w:hint="eastAsia"/>
          <w:kern w:val="0"/>
          <w:sz w:val="24"/>
        </w:rPr>
        <w:t>表1 “4平台＋N模块”培养体系</w:t>
      </w:r>
    </w:p>
    <w:tbl>
      <w:tblPr>
        <w:tblStyle w:val="aa"/>
        <w:tblW w:w="5000" w:type="pct"/>
        <w:tblLayout w:type="fixed"/>
        <w:tblLook w:val="04A0"/>
      </w:tblPr>
      <w:tblGrid>
        <w:gridCol w:w="1302"/>
        <w:gridCol w:w="1217"/>
        <w:gridCol w:w="3010"/>
        <w:gridCol w:w="1762"/>
        <w:gridCol w:w="1231"/>
      </w:tblGrid>
      <w:tr w:rsidR="00DD2A37">
        <w:trPr>
          <w:cantSplit/>
          <w:trHeight w:val="455"/>
          <w:tblHeader/>
        </w:trPr>
        <w:tc>
          <w:tcPr>
            <w:tcW w:w="764"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平台类别</w:t>
            </w:r>
          </w:p>
        </w:tc>
        <w:tc>
          <w:tcPr>
            <w:tcW w:w="714"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课程类别</w:t>
            </w:r>
          </w:p>
        </w:tc>
        <w:tc>
          <w:tcPr>
            <w:tcW w:w="1766"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课程模块</w:t>
            </w:r>
          </w:p>
        </w:tc>
        <w:tc>
          <w:tcPr>
            <w:tcW w:w="1034"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学分</w:t>
            </w:r>
          </w:p>
        </w:tc>
        <w:tc>
          <w:tcPr>
            <w:tcW w:w="722"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课程性质</w:t>
            </w:r>
          </w:p>
        </w:tc>
      </w:tr>
      <w:tr w:rsidR="00DD2A37">
        <w:trPr>
          <w:cantSplit/>
          <w:trHeight w:val="278"/>
          <w:tblHeader/>
        </w:trPr>
        <w:tc>
          <w:tcPr>
            <w:tcW w:w="764" w:type="pct"/>
            <w:vMerge w:val="restar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通识教育</w:t>
            </w:r>
          </w:p>
        </w:tc>
        <w:tc>
          <w:tcPr>
            <w:tcW w:w="714" w:type="pct"/>
            <w:vMerge w:val="restar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通识公共课程</w:t>
            </w:r>
          </w:p>
        </w:tc>
        <w:tc>
          <w:tcPr>
            <w:tcW w:w="1766" w:type="pct"/>
            <w:vAlign w:val="center"/>
          </w:tcPr>
          <w:p w:rsidR="00DD2A37" w:rsidRDefault="00907DED">
            <w:pPr>
              <w:widowControl/>
              <w:adjustRightInd w:val="0"/>
              <w:snapToGrid w:val="0"/>
              <w:rPr>
                <w:rFonts w:ascii="仿宋" w:eastAsia="仿宋" w:hAnsi="仿宋" w:cs="仿宋"/>
                <w:kern w:val="0"/>
                <w:szCs w:val="21"/>
              </w:rPr>
            </w:pPr>
            <w:proofErr w:type="gramStart"/>
            <w:r>
              <w:rPr>
                <w:rFonts w:ascii="仿宋" w:eastAsia="仿宋" w:hAnsi="仿宋" w:cs="仿宋" w:hint="eastAsia"/>
                <w:kern w:val="0"/>
                <w:szCs w:val="21"/>
              </w:rPr>
              <w:t>思政类</w:t>
            </w:r>
            <w:proofErr w:type="gramEnd"/>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16</w:t>
            </w:r>
          </w:p>
        </w:tc>
        <w:tc>
          <w:tcPr>
            <w:tcW w:w="722" w:type="pct"/>
            <w:vMerge w:val="restar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必修</w:t>
            </w:r>
          </w:p>
        </w:tc>
      </w:tr>
      <w:tr w:rsidR="00DD2A37">
        <w:trPr>
          <w:cantSplit/>
          <w:trHeight w:val="319"/>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外语类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12</w:t>
            </w:r>
          </w:p>
        </w:tc>
        <w:tc>
          <w:tcPr>
            <w:tcW w:w="722" w:type="pct"/>
            <w:vMerge/>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292"/>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军事类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4</w:t>
            </w:r>
          </w:p>
        </w:tc>
        <w:tc>
          <w:tcPr>
            <w:tcW w:w="722" w:type="pct"/>
            <w:vMerge/>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265"/>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体育类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5</w:t>
            </w:r>
          </w:p>
        </w:tc>
        <w:tc>
          <w:tcPr>
            <w:tcW w:w="722" w:type="pct"/>
            <w:vMerge/>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278"/>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心理类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w:t>
            </w:r>
          </w:p>
        </w:tc>
        <w:tc>
          <w:tcPr>
            <w:tcW w:w="722" w:type="pct"/>
            <w:vMerge/>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265"/>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计算机类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w:t>
            </w:r>
          </w:p>
        </w:tc>
        <w:tc>
          <w:tcPr>
            <w:tcW w:w="722" w:type="pct"/>
            <w:vMerge/>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278"/>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人文类</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w:t>
            </w:r>
          </w:p>
        </w:tc>
        <w:tc>
          <w:tcPr>
            <w:tcW w:w="722" w:type="pct"/>
            <w:vMerge/>
            <w:vAlign w:val="center"/>
          </w:tcPr>
          <w:p w:rsidR="00DD2A37" w:rsidRDefault="00DD2A37">
            <w:pPr>
              <w:widowControl/>
              <w:adjustRightInd w:val="0"/>
              <w:snapToGrid w:val="0"/>
              <w:jc w:val="center"/>
              <w:rPr>
                <w:rFonts w:ascii="仿宋" w:eastAsia="仿宋" w:hAnsi="仿宋" w:cs="仿宋"/>
                <w:kern w:val="0"/>
                <w:szCs w:val="21"/>
              </w:rPr>
            </w:pPr>
          </w:p>
        </w:tc>
      </w:tr>
      <w:tr w:rsidR="00DD2A37">
        <w:trPr>
          <w:cantSplit/>
          <w:trHeight w:val="397"/>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restart"/>
            <w:vAlign w:val="center"/>
          </w:tcPr>
          <w:p w:rsidR="00DD2A37" w:rsidRDefault="00907DED">
            <w:pPr>
              <w:widowControl/>
              <w:adjustRightInd w:val="0"/>
              <w:snapToGrid w:val="0"/>
              <w:jc w:val="center"/>
              <w:rPr>
                <w:rFonts w:ascii="仿宋" w:eastAsia="仿宋" w:hAnsi="仿宋" w:cs="仿宋"/>
                <w:kern w:val="0"/>
                <w:szCs w:val="21"/>
              </w:rPr>
            </w:pPr>
            <w:proofErr w:type="gramStart"/>
            <w:r>
              <w:rPr>
                <w:rFonts w:ascii="仿宋" w:eastAsia="仿宋" w:hAnsi="仿宋" w:cs="仿宋" w:hint="eastAsia"/>
                <w:kern w:val="0"/>
                <w:szCs w:val="21"/>
              </w:rPr>
              <w:t>通识通选</w:t>
            </w:r>
            <w:proofErr w:type="gramEnd"/>
            <w:r>
              <w:rPr>
                <w:rFonts w:ascii="仿宋" w:eastAsia="仿宋" w:hAnsi="仿宋" w:cs="仿宋" w:hint="eastAsia"/>
                <w:kern w:val="0"/>
                <w:szCs w:val="21"/>
              </w:rPr>
              <w:t>课程</w:t>
            </w: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社会实践</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2（任选）</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r w:rsidR="00DD2A37">
        <w:trPr>
          <w:cantSplit/>
          <w:trHeight w:val="397"/>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劳动教育</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2（任选）</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r w:rsidR="00DD2A37">
        <w:trPr>
          <w:cantSplit/>
          <w:trHeight w:val="397"/>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vAlign w:val="center"/>
          </w:tcPr>
          <w:p w:rsidR="00DD2A37" w:rsidRDefault="00DD2A37">
            <w:pPr>
              <w:widowControl/>
              <w:adjustRightInd w:val="0"/>
              <w:snapToGrid w:val="0"/>
              <w:jc w:val="center"/>
              <w:rPr>
                <w:rFonts w:ascii="仿宋" w:eastAsia="仿宋" w:hAnsi="仿宋" w:cs="仿宋"/>
                <w:kern w:val="0"/>
                <w:szCs w:val="21"/>
              </w:rPr>
            </w:pP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创新创业</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2（任选）</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r w:rsidR="00DD2A37">
        <w:trPr>
          <w:cantSplit/>
          <w:trHeight w:val="397"/>
          <w:tblHeader/>
        </w:trPr>
        <w:tc>
          <w:tcPr>
            <w:tcW w:w="764" w:type="pct"/>
            <w:vMerge/>
            <w:tcBorders>
              <w:bottom w:val="single" w:sz="4" w:space="0" w:color="auto"/>
            </w:tcBorders>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Merge/>
            <w:tcBorders>
              <w:bottom w:val="single" w:sz="4" w:space="0" w:color="auto"/>
            </w:tcBorders>
            <w:vAlign w:val="center"/>
          </w:tcPr>
          <w:p w:rsidR="00DD2A37" w:rsidRDefault="00DD2A37">
            <w:pPr>
              <w:widowControl/>
              <w:adjustRightInd w:val="0"/>
              <w:snapToGrid w:val="0"/>
              <w:jc w:val="center"/>
              <w:rPr>
                <w:rFonts w:ascii="仿宋" w:eastAsia="仿宋" w:hAnsi="仿宋" w:cs="仿宋"/>
                <w:kern w:val="0"/>
                <w:szCs w:val="21"/>
              </w:rPr>
            </w:pPr>
          </w:p>
        </w:tc>
        <w:tc>
          <w:tcPr>
            <w:tcW w:w="1766" w:type="pct"/>
            <w:tcBorders>
              <w:bottom w:val="single" w:sz="4" w:space="0" w:color="auto"/>
            </w:tcBorders>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通识选修课</w:t>
            </w:r>
          </w:p>
        </w:tc>
        <w:tc>
          <w:tcPr>
            <w:tcW w:w="1034" w:type="pct"/>
            <w:tcBorders>
              <w:bottom w:val="single" w:sz="4" w:space="0" w:color="auto"/>
            </w:tcBorders>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6（任选）</w:t>
            </w:r>
          </w:p>
        </w:tc>
        <w:tc>
          <w:tcPr>
            <w:tcW w:w="722" w:type="pct"/>
            <w:tcBorders>
              <w:bottom w:val="single" w:sz="4" w:space="0" w:color="auto"/>
            </w:tcBorders>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r w:rsidR="00DD2A37">
        <w:trPr>
          <w:cantSplit/>
          <w:trHeight w:val="90"/>
          <w:tblHeader/>
        </w:trPr>
        <w:tc>
          <w:tcPr>
            <w:tcW w:w="764" w:type="pct"/>
            <w:vMerge w:val="restar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学科教育</w:t>
            </w:r>
          </w:p>
        </w:tc>
        <w:tc>
          <w:tcPr>
            <w:tcW w:w="71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学科基础课程</w:t>
            </w: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包括学科平台课程（同一学科所有学生共同修读的课程），如：数学类、物理类、化学类、基础医学类等</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自定</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必修</w:t>
            </w:r>
          </w:p>
        </w:tc>
      </w:tr>
      <w:tr w:rsidR="00DD2A37">
        <w:trPr>
          <w:cantSplit/>
          <w:trHeight w:val="807"/>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专业基础课程</w:t>
            </w:r>
          </w:p>
        </w:tc>
        <w:tc>
          <w:tcPr>
            <w:tcW w:w="1766" w:type="pct"/>
            <w:vAlign w:val="center"/>
          </w:tcPr>
          <w:p w:rsidR="00DD2A37" w:rsidRDefault="00907DED">
            <w:pPr>
              <w:adjustRightInd w:val="0"/>
              <w:snapToGrid w:val="0"/>
              <w:rPr>
                <w:rFonts w:ascii="仿宋" w:eastAsia="仿宋" w:hAnsi="仿宋" w:cs="仿宋"/>
                <w:kern w:val="0"/>
                <w:szCs w:val="21"/>
              </w:rPr>
            </w:pPr>
            <w:r>
              <w:rPr>
                <w:rFonts w:ascii="仿宋" w:eastAsia="仿宋" w:hAnsi="仿宋" w:cs="仿宋" w:hint="eastAsia"/>
                <w:kern w:val="0"/>
                <w:szCs w:val="21"/>
              </w:rPr>
              <w:t>包括专业大类平台课程（同一专业大类所有学生共同修读的课程）</w:t>
            </w: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自定</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必修</w:t>
            </w:r>
          </w:p>
        </w:tc>
      </w:tr>
      <w:tr w:rsidR="00DD2A37">
        <w:trPr>
          <w:cantSplit/>
          <w:trHeight w:val="607"/>
          <w:tblHeader/>
        </w:trPr>
        <w:tc>
          <w:tcPr>
            <w:tcW w:w="764" w:type="pct"/>
            <w:vMerge w:val="restar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专业教育</w:t>
            </w:r>
          </w:p>
        </w:tc>
        <w:tc>
          <w:tcPr>
            <w:tcW w:w="714" w:type="pct"/>
            <w:tcBorders>
              <w:bottom w:val="single" w:sz="4" w:space="0" w:color="auto"/>
            </w:tcBorders>
            <w:vAlign w:val="center"/>
          </w:tcPr>
          <w:p w:rsidR="00DD2A37" w:rsidRDefault="00907DED">
            <w:pPr>
              <w:adjustRightInd w:val="0"/>
              <w:snapToGrid w:val="0"/>
              <w:jc w:val="center"/>
              <w:rPr>
                <w:rFonts w:ascii="仿宋" w:eastAsia="仿宋" w:hAnsi="仿宋" w:cs="仿宋"/>
                <w:kern w:val="0"/>
                <w:szCs w:val="21"/>
              </w:rPr>
            </w:pPr>
            <w:r>
              <w:rPr>
                <w:rFonts w:ascii="仿宋" w:eastAsia="仿宋" w:hAnsi="仿宋" w:cs="仿宋" w:hint="eastAsia"/>
                <w:kern w:val="0"/>
                <w:szCs w:val="21"/>
              </w:rPr>
              <w:t>专业必修课程</w:t>
            </w:r>
          </w:p>
        </w:tc>
        <w:tc>
          <w:tcPr>
            <w:tcW w:w="1766" w:type="pct"/>
            <w:vMerge w:val="restar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包括专业必修课程、专业选修课、毕业论文（设计）等实践教学环节</w:t>
            </w:r>
          </w:p>
        </w:tc>
        <w:tc>
          <w:tcPr>
            <w:tcW w:w="1034" w:type="pct"/>
            <w:tcBorders>
              <w:bottom w:val="single" w:sz="4" w:space="0" w:color="auto"/>
            </w:tcBorders>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自定</w:t>
            </w:r>
          </w:p>
        </w:tc>
        <w:tc>
          <w:tcPr>
            <w:tcW w:w="722" w:type="pct"/>
            <w:tcBorders>
              <w:bottom w:val="single" w:sz="4" w:space="0" w:color="auto"/>
            </w:tcBorders>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必修</w:t>
            </w:r>
          </w:p>
        </w:tc>
      </w:tr>
      <w:tr w:rsidR="00DD2A37">
        <w:trPr>
          <w:cantSplit/>
          <w:trHeight w:val="597"/>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专业选修课程</w:t>
            </w:r>
          </w:p>
        </w:tc>
        <w:tc>
          <w:tcPr>
            <w:tcW w:w="1766" w:type="pct"/>
            <w:vMerge/>
            <w:vAlign w:val="center"/>
          </w:tcPr>
          <w:p w:rsidR="00DD2A37" w:rsidRDefault="00DD2A37">
            <w:pPr>
              <w:widowControl/>
              <w:adjustRightInd w:val="0"/>
              <w:snapToGrid w:val="0"/>
              <w:rPr>
                <w:rFonts w:ascii="仿宋" w:eastAsia="仿宋" w:hAnsi="仿宋" w:cs="仿宋"/>
                <w:kern w:val="0"/>
                <w:szCs w:val="21"/>
              </w:rPr>
            </w:pPr>
          </w:p>
        </w:tc>
        <w:tc>
          <w:tcPr>
            <w:tcW w:w="1034" w:type="pct"/>
            <w:vAlign w:val="center"/>
          </w:tcPr>
          <w:p w:rsidR="00DD2A37" w:rsidRDefault="00907DED">
            <w:pPr>
              <w:widowControl/>
              <w:adjustRightInd w:val="0"/>
              <w:snapToGrid w:val="0"/>
              <w:jc w:val="center"/>
              <w:rPr>
                <w:rFonts w:ascii="微软雅黑" w:eastAsia="微软雅黑" w:hAnsi="微软雅黑" w:cs="微软雅黑"/>
                <w:kern w:val="0"/>
                <w:szCs w:val="21"/>
              </w:rPr>
            </w:pPr>
            <w:r>
              <w:rPr>
                <w:rFonts w:ascii="Arial" w:hAnsi="Arial" w:cs="Arial"/>
                <w:kern w:val="0"/>
                <w:szCs w:val="21"/>
              </w:rPr>
              <w:t>≥</w:t>
            </w:r>
            <w:r>
              <w:rPr>
                <w:rFonts w:ascii="仿宋" w:eastAsia="仿宋" w:hAnsi="仿宋" w:cs="仿宋" w:hint="eastAsia"/>
                <w:kern w:val="0"/>
                <w:szCs w:val="21"/>
              </w:rPr>
              <w:t>10（限选）</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r w:rsidR="00DD2A37">
        <w:trPr>
          <w:cantSplit/>
          <w:trHeight w:val="529"/>
          <w:tblHeader/>
        </w:trPr>
        <w:tc>
          <w:tcPr>
            <w:tcW w:w="764" w:type="pct"/>
            <w:vMerge/>
            <w:vAlign w:val="center"/>
          </w:tcPr>
          <w:p w:rsidR="00DD2A37" w:rsidRDefault="00DD2A37">
            <w:pPr>
              <w:widowControl/>
              <w:adjustRightInd w:val="0"/>
              <w:snapToGrid w:val="0"/>
              <w:jc w:val="center"/>
              <w:rPr>
                <w:rFonts w:ascii="仿宋" w:eastAsia="仿宋" w:hAnsi="仿宋" w:cs="仿宋"/>
                <w:b/>
                <w:bCs/>
                <w:kern w:val="0"/>
                <w:szCs w:val="21"/>
              </w:rPr>
            </w:pPr>
          </w:p>
        </w:tc>
        <w:tc>
          <w:tcPr>
            <w:tcW w:w="71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集中实践教学</w:t>
            </w:r>
          </w:p>
        </w:tc>
        <w:tc>
          <w:tcPr>
            <w:tcW w:w="1766" w:type="pct"/>
            <w:vMerge/>
            <w:vAlign w:val="center"/>
          </w:tcPr>
          <w:p w:rsidR="00DD2A37" w:rsidRDefault="00DD2A37">
            <w:pPr>
              <w:widowControl/>
              <w:adjustRightInd w:val="0"/>
              <w:snapToGrid w:val="0"/>
              <w:rPr>
                <w:rFonts w:ascii="仿宋" w:eastAsia="仿宋" w:hAnsi="仿宋" w:cs="仿宋"/>
                <w:kern w:val="0"/>
                <w:szCs w:val="21"/>
              </w:rPr>
            </w:pPr>
          </w:p>
        </w:tc>
        <w:tc>
          <w:tcPr>
            <w:tcW w:w="103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自定</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必修</w:t>
            </w:r>
          </w:p>
        </w:tc>
      </w:tr>
      <w:tr w:rsidR="00DD2A37">
        <w:trPr>
          <w:cantSplit/>
          <w:trHeight w:val="644"/>
          <w:tblHeader/>
        </w:trPr>
        <w:tc>
          <w:tcPr>
            <w:tcW w:w="764" w:type="pct"/>
            <w:vAlign w:val="center"/>
          </w:tcPr>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跨学科</w:t>
            </w:r>
          </w:p>
          <w:p w:rsidR="00DD2A37" w:rsidRDefault="00907DED">
            <w:pPr>
              <w:widowControl/>
              <w:adjustRightInd w:val="0"/>
              <w:snapToGrid w:val="0"/>
              <w:jc w:val="center"/>
              <w:rPr>
                <w:rFonts w:ascii="仿宋" w:eastAsia="仿宋" w:hAnsi="仿宋" w:cs="仿宋"/>
                <w:b/>
                <w:bCs/>
                <w:kern w:val="0"/>
                <w:szCs w:val="21"/>
              </w:rPr>
            </w:pPr>
            <w:r>
              <w:rPr>
                <w:rFonts w:ascii="仿宋" w:eastAsia="仿宋" w:hAnsi="仿宋" w:cs="仿宋" w:hint="eastAsia"/>
                <w:b/>
                <w:bCs/>
                <w:kern w:val="0"/>
                <w:szCs w:val="21"/>
              </w:rPr>
              <w:t>拓展</w:t>
            </w:r>
          </w:p>
        </w:tc>
        <w:tc>
          <w:tcPr>
            <w:tcW w:w="714"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前沿课程</w:t>
            </w:r>
          </w:p>
        </w:tc>
        <w:tc>
          <w:tcPr>
            <w:tcW w:w="1766" w:type="pct"/>
            <w:vAlign w:val="center"/>
          </w:tcPr>
          <w:p w:rsidR="00DD2A37" w:rsidRDefault="00907DED">
            <w:pPr>
              <w:widowControl/>
              <w:adjustRightInd w:val="0"/>
              <w:snapToGrid w:val="0"/>
              <w:rPr>
                <w:rFonts w:ascii="仿宋" w:eastAsia="仿宋" w:hAnsi="仿宋" w:cs="仿宋"/>
                <w:kern w:val="0"/>
                <w:szCs w:val="21"/>
              </w:rPr>
            </w:pPr>
            <w:r>
              <w:rPr>
                <w:rFonts w:ascii="仿宋" w:eastAsia="仿宋" w:hAnsi="仿宋" w:cs="仿宋" w:hint="eastAsia"/>
                <w:kern w:val="0"/>
                <w:szCs w:val="21"/>
              </w:rPr>
              <w:t>包括交叉整合课程、跨学科课程等</w:t>
            </w:r>
          </w:p>
        </w:tc>
        <w:tc>
          <w:tcPr>
            <w:tcW w:w="1034" w:type="pct"/>
            <w:vAlign w:val="center"/>
          </w:tcPr>
          <w:p w:rsidR="00DD2A37" w:rsidRDefault="00907DED">
            <w:pPr>
              <w:widowControl/>
              <w:adjustRightInd w:val="0"/>
              <w:snapToGrid w:val="0"/>
              <w:jc w:val="center"/>
              <w:rPr>
                <w:rFonts w:ascii="仿宋" w:hAnsi="仿宋" w:cs="仿宋"/>
                <w:kern w:val="0"/>
                <w:szCs w:val="21"/>
              </w:rPr>
            </w:pPr>
            <w:r>
              <w:rPr>
                <w:rFonts w:ascii="Arial" w:hAnsi="Arial" w:cs="Arial"/>
                <w:kern w:val="0"/>
                <w:szCs w:val="21"/>
              </w:rPr>
              <w:t>≥</w:t>
            </w:r>
            <w:r>
              <w:rPr>
                <w:rFonts w:ascii="仿宋" w:eastAsia="仿宋" w:hAnsi="仿宋" w:cs="仿宋" w:hint="eastAsia"/>
                <w:kern w:val="0"/>
                <w:szCs w:val="21"/>
              </w:rPr>
              <w:t>8（任选）</w:t>
            </w:r>
          </w:p>
        </w:tc>
        <w:tc>
          <w:tcPr>
            <w:tcW w:w="722" w:type="pct"/>
            <w:vAlign w:val="center"/>
          </w:tcPr>
          <w:p w:rsidR="00DD2A37" w:rsidRDefault="00907DED">
            <w:pPr>
              <w:widowControl/>
              <w:adjustRightInd w:val="0"/>
              <w:snapToGrid w:val="0"/>
              <w:jc w:val="center"/>
              <w:rPr>
                <w:rFonts w:ascii="仿宋" w:eastAsia="仿宋" w:hAnsi="仿宋" w:cs="仿宋"/>
                <w:kern w:val="0"/>
                <w:szCs w:val="21"/>
              </w:rPr>
            </w:pPr>
            <w:r>
              <w:rPr>
                <w:rFonts w:ascii="仿宋" w:eastAsia="仿宋" w:hAnsi="仿宋" w:cs="仿宋" w:hint="eastAsia"/>
                <w:kern w:val="0"/>
                <w:szCs w:val="21"/>
              </w:rPr>
              <w:t>选修</w:t>
            </w:r>
          </w:p>
        </w:tc>
      </w:tr>
    </w:tbl>
    <w:p w:rsidR="00DD2A37" w:rsidRDefault="00DD2A37">
      <w:pPr>
        <w:widowControl/>
        <w:jc w:val="left"/>
        <w:rPr>
          <w:rFonts w:ascii="仿宋" w:eastAsia="仿宋" w:hAnsi="仿宋" w:cs="仿宋"/>
          <w:kern w:val="0"/>
          <w:sz w:val="28"/>
          <w:szCs w:val="28"/>
        </w:rPr>
      </w:pPr>
    </w:p>
    <w:p w:rsidR="00DD2A37" w:rsidRDefault="00907DED" w:rsidP="000F00BD">
      <w:pPr>
        <w:pStyle w:val="2"/>
        <w:adjustRightInd w:val="0"/>
        <w:ind w:firstLine="562"/>
        <w:rPr>
          <w:rFonts w:ascii="仿宋" w:hAnsi="仿宋" w:cs="仿宋"/>
          <w:sz w:val="32"/>
        </w:rPr>
      </w:pPr>
      <w:r>
        <w:rPr>
          <w:rFonts w:ascii="仿宋" w:hAnsi="仿宋" w:cs="仿宋"/>
          <w:kern w:val="0"/>
          <w:szCs w:val="28"/>
        </w:rPr>
        <w:br w:type="page"/>
      </w:r>
      <w:bookmarkStart w:id="16" w:name="_Toc61786541"/>
      <w:r>
        <w:rPr>
          <w:rFonts w:ascii="仿宋" w:hAnsi="仿宋" w:cs="仿宋" w:hint="eastAsia"/>
          <w:sz w:val="32"/>
        </w:rPr>
        <w:lastRenderedPageBreak/>
        <w:t>（一）通识教育平台</w:t>
      </w:r>
      <w:bookmarkEnd w:id="16"/>
    </w:p>
    <w:p w:rsidR="00DD2A37" w:rsidRDefault="00907DED">
      <w:pPr>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为学生完成专业课程的学习奠定基础，也为培养学生正确的世界观、方法论和科学的思维方式提供保证。包括通识公共课、</w:t>
      </w:r>
      <w:proofErr w:type="gramStart"/>
      <w:r>
        <w:rPr>
          <w:rFonts w:ascii="仿宋" w:eastAsia="仿宋" w:hAnsi="仿宋" w:cs="仿宋" w:hint="eastAsia"/>
          <w:kern w:val="0"/>
          <w:sz w:val="32"/>
          <w:szCs w:val="32"/>
        </w:rPr>
        <w:t>通识通选课</w:t>
      </w:r>
      <w:proofErr w:type="gramEnd"/>
      <w:r>
        <w:rPr>
          <w:rFonts w:ascii="仿宋" w:eastAsia="仿宋" w:hAnsi="仿宋" w:cs="仿宋" w:hint="eastAsia"/>
          <w:kern w:val="0"/>
          <w:sz w:val="32"/>
          <w:szCs w:val="32"/>
        </w:rPr>
        <w:t>。</w:t>
      </w:r>
    </w:p>
    <w:p w:rsidR="00DD2A37" w:rsidRDefault="00907DED">
      <w:pPr>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1.通识公共课：主要包括：</w:t>
      </w:r>
      <w:proofErr w:type="gramStart"/>
      <w:r>
        <w:rPr>
          <w:rFonts w:ascii="仿宋" w:eastAsia="仿宋" w:hAnsi="仿宋" w:cs="仿宋" w:hint="eastAsia"/>
          <w:kern w:val="0"/>
          <w:sz w:val="32"/>
          <w:szCs w:val="32"/>
        </w:rPr>
        <w:t>思政类</w:t>
      </w:r>
      <w:proofErr w:type="gramEnd"/>
      <w:r>
        <w:rPr>
          <w:rFonts w:ascii="仿宋" w:eastAsia="仿宋" w:hAnsi="仿宋" w:cs="仿宋" w:hint="eastAsia"/>
          <w:kern w:val="0"/>
          <w:sz w:val="32"/>
          <w:szCs w:val="32"/>
        </w:rPr>
        <w:t>、军事类、体育类、心理类、计算机类、人文类等必修课程。</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proofErr w:type="gramStart"/>
      <w:r>
        <w:rPr>
          <w:rFonts w:ascii="仿宋" w:eastAsia="仿宋" w:hAnsi="仿宋" w:cs="仿宋" w:hint="eastAsia"/>
          <w:kern w:val="0"/>
          <w:sz w:val="32"/>
          <w:szCs w:val="32"/>
        </w:rPr>
        <w:t>通识通选课</w:t>
      </w:r>
      <w:proofErr w:type="gramEnd"/>
      <w:r>
        <w:rPr>
          <w:rFonts w:ascii="仿宋" w:eastAsia="仿宋" w:hAnsi="仿宋" w:cs="仿宋" w:hint="eastAsia"/>
          <w:kern w:val="0"/>
          <w:sz w:val="32"/>
          <w:szCs w:val="32"/>
        </w:rPr>
        <w:t>：包括社会实践、创新创业、劳动教育及通识选修课等。</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①社会实践:社会实践主要通过学校和学院组织的课外实践活动进行。社会实践强调学生利用课余时间，以自身所学和能力服务社会，提升综合素质。</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②创新创业：依托创新创业学院，不断完善学校创新创业教育体系。鼓励学生积极参加学科竞赛、创新创业训练、创业实践、科学素养训练等。毕业要求修满2学分。</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③劳动教育：根据《关于全面加强新时代大中小学劳动教育的意见》精神，各专业增设不少于32学时2学分的劳动教育相关必修课程，以实践为主。除劳动教育必修课程外，其他课程结合学科、专业特点，有机融入劳动教育内容。</w:t>
      </w:r>
    </w:p>
    <w:p w:rsidR="00DD2A37" w:rsidRDefault="00907DED">
      <w:pPr>
        <w:widowControl/>
        <w:adjustRightInd w:val="0"/>
        <w:snapToGrid w:val="0"/>
        <w:spacing w:line="360" w:lineRule="auto"/>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④通识选修课，属任意选修课，分为通识教育核心课程与通识教育拓展课程，旨在夯实学生基础知识，加强科学精神与人文精神的融合，培养学生的认知能力、思考能力、批判性思维能力，在对学生的价值引导、心智培育、健全人格</w:t>
      </w:r>
      <w:r>
        <w:rPr>
          <w:rFonts w:ascii="仿宋" w:eastAsia="仿宋" w:hAnsi="仿宋" w:cs="仿宋" w:hint="eastAsia"/>
          <w:kern w:val="0"/>
          <w:sz w:val="32"/>
          <w:szCs w:val="32"/>
        </w:rPr>
        <w:lastRenderedPageBreak/>
        <w:t>等方面发挥重要作用。课程名称与代码每学期予以公布。学生需修满通识选修课6学分。其中，根据教育部《全国普通高等学校公共艺术课程指导方案》文件要求，学生必须修满2学分的艺术类课程。</w:t>
      </w:r>
    </w:p>
    <w:p w:rsidR="00DD2A37" w:rsidRDefault="00907DED" w:rsidP="000F00BD">
      <w:pPr>
        <w:pStyle w:val="2"/>
        <w:adjustRightInd w:val="0"/>
        <w:ind w:firstLine="643"/>
        <w:rPr>
          <w:rFonts w:ascii="仿宋" w:hAnsi="仿宋" w:cs="仿宋"/>
          <w:sz w:val="32"/>
        </w:rPr>
      </w:pPr>
      <w:bookmarkStart w:id="17" w:name="_Toc61786542"/>
      <w:r>
        <w:rPr>
          <w:rFonts w:ascii="仿宋" w:hAnsi="仿宋" w:cs="仿宋" w:hint="eastAsia"/>
          <w:sz w:val="32"/>
        </w:rPr>
        <w:t>（二）学科教育平台</w:t>
      </w:r>
      <w:bookmarkEnd w:id="17"/>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sz w:val="32"/>
          <w:szCs w:val="32"/>
        </w:rPr>
        <w:t>支撑该学科（专业）的基础性课程，着重于建立宽厚的学科、专业知识基础，奠定学生今后学业发展的基石。</w:t>
      </w:r>
      <w:r>
        <w:rPr>
          <w:rFonts w:ascii="仿宋" w:eastAsia="仿宋" w:hAnsi="仿宋" w:cs="仿宋" w:hint="eastAsia"/>
          <w:kern w:val="0"/>
          <w:sz w:val="32"/>
          <w:szCs w:val="32"/>
        </w:rPr>
        <w:t>适用于同一学科内各类专业的统一平台。</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1.学科基础课程：数学类、物理类、化学类、基础医学类等必修课程，实行分类、分层次模块化教学，学生根据不同学科或专业修读相应模块教学内容。课程详情参见各学院（部）课程库。</w:t>
      </w:r>
    </w:p>
    <w:p w:rsidR="00DD2A37" w:rsidRDefault="00907DED">
      <w:pPr>
        <w:widowControl/>
        <w:adjustRightInd w:val="0"/>
        <w:snapToGrid w:val="0"/>
        <w:spacing w:line="360" w:lineRule="auto"/>
        <w:ind w:firstLineChars="200" w:firstLine="640"/>
        <w:rPr>
          <w:rFonts w:ascii="仿宋" w:eastAsia="仿宋" w:hAnsi="仿宋" w:cs="仿宋"/>
          <w:sz w:val="32"/>
          <w:szCs w:val="32"/>
        </w:rPr>
      </w:pPr>
      <w:r>
        <w:rPr>
          <w:rFonts w:ascii="仿宋" w:eastAsia="仿宋" w:hAnsi="仿宋" w:cs="仿宋" w:hint="eastAsia"/>
          <w:kern w:val="0"/>
          <w:sz w:val="32"/>
          <w:szCs w:val="32"/>
        </w:rPr>
        <w:t>2.专业基础课程：以基础性和公共性兼顾为设置原则，实现同一学科大类中不同专业基础课程的互通交叉，着重建立本科专业所在学科宽厚的知识基础，拓宽专业知识面，适当区分大学科及小学科内必须开设的课程，打下学生日后学业发展所需的理论基础，为大类培养做准备。各专业需开设至少</w:t>
      </w:r>
      <w:r>
        <w:rPr>
          <w:rFonts w:ascii="仿宋" w:eastAsia="仿宋" w:hAnsi="仿宋" w:cs="仿宋" w:hint="eastAsia"/>
          <w:b/>
          <w:bCs/>
          <w:kern w:val="0"/>
          <w:sz w:val="32"/>
          <w:szCs w:val="32"/>
        </w:rPr>
        <w:t>1门专业导入课</w:t>
      </w:r>
      <w:r>
        <w:rPr>
          <w:rFonts w:ascii="仿宋" w:eastAsia="仿宋" w:hAnsi="仿宋" w:cs="仿宋" w:hint="eastAsia"/>
          <w:kern w:val="0"/>
          <w:sz w:val="32"/>
          <w:szCs w:val="32"/>
        </w:rPr>
        <w:t>。</w:t>
      </w:r>
    </w:p>
    <w:p w:rsidR="00DD2A37" w:rsidRDefault="00907DED" w:rsidP="000F00BD">
      <w:pPr>
        <w:pStyle w:val="2"/>
        <w:adjustRightInd w:val="0"/>
        <w:ind w:firstLine="643"/>
        <w:rPr>
          <w:rFonts w:ascii="仿宋" w:hAnsi="仿宋" w:cs="仿宋"/>
          <w:sz w:val="32"/>
        </w:rPr>
      </w:pPr>
      <w:bookmarkStart w:id="18" w:name="_Toc61786543"/>
      <w:r>
        <w:rPr>
          <w:rFonts w:ascii="仿宋" w:hAnsi="仿宋" w:cs="仿宋" w:hint="eastAsia"/>
          <w:sz w:val="32"/>
        </w:rPr>
        <w:t>（三）专业教育平台</w:t>
      </w:r>
      <w:bookmarkEnd w:id="18"/>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学生大学期间必须修读的专业课程，既要体现专业培养目标的要求，又要体现专业自身的特点和办学特色，重在培养学生掌握专业知识，各专业要精心设计和充分论证整合重</w:t>
      </w:r>
      <w:r>
        <w:rPr>
          <w:rFonts w:ascii="仿宋" w:eastAsia="仿宋" w:hAnsi="仿宋" w:cs="仿宋" w:hint="eastAsia"/>
          <w:kern w:val="0"/>
          <w:sz w:val="32"/>
          <w:szCs w:val="32"/>
        </w:rPr>
        <w:lastRenderedPageBreak/>
        <w:t>构课程体系。根据专业培养目标凝练出最重要、</w:t>
      </w:r>
      <w:proofErr w:type="gramStart"/>
      <w:r>
        <w:rPr>
          <w:rFonts w:ascii="仿宋" w:eastAsia="仿宋" w:hAnsi="仿宋" w:cs="仿宋" w:hint="eastAsia"/>
          <w:kern w:val="0"/>
          <w:sz w:val="32"/>
          <w:szCs w:val="32"/>
        </w:rPr>
        <w:t>最</w:t>
      </w:r>
      <w:proofErr w:type="gramEnd"/>
      <w:r>
        <w:rPr>
          <w:rFonts w:ascii="仿宋" w:eastAsia="仿宋" w:hAnsi="仿宋" w:cs="仿宋" w:hint="eastAsia"/>
          <w:kern w:val="0"/>
          <w:sz w:val="32"/>
          <w:szCs w:val="32"/>
        </w:rPr>
        <w:t>核心、最能反映专业内涵和人才培养基本要求的专业核心课程，建立6门左右TOP核心课，确定1门顶点课程，增设国际化课程、学位课程，并对接好辅修、微专业、</w:t>
      </w:r>
      <w:proofErr w:type="gramStart"/>
      <w:r>
        <w:rPr>
          <w:rFonts w:ascii="仿宋" w:eastAsia="仿宋" w:hAnsi="仿宋" w:cs="仿宋" w:hint="eastAsia"/>
          <w:kern w:val="0"/>
          <w:sz w:val="32"/>
          <w:szCs w:val="32"/>
        </w:rPr>
        <w:t>职普融通</w:t>
      </w:r>
      <w:proofErr w:type="gramEnd"/>
      <w:r>
        <w:rPr>
          <w:rFonts w:ascii="仿宋" w:eastAsia="仿宋" w:hAnsi="仿宋" w:cs="仿宋" w:hint="eastAsia"/>
          <w:kern w:val="0"/>
          <w:sz w:val="32"/>
          <w:szCs w:val="32"/>
        </w:rPr>
        <w:t>、第二学士学位、</w:t>
      </w:r>
      <w:proofErr w:type="gramStart"/>
      <w:r>
        <w:rPr>
          <w:rFonts w:ascii="仿宋" w:eastAsia="仿宋" w:hAnsi="仿宋" w:cs="仿宋" w:hint="eastAsia"/>
          <w:kern w:val="0"/>
          <w:sz w:val="32"/>
          <w:szCs w:val="32"/>
        </w:rPr>
        <w:t>规</w:t>
      </w:r>
      <w:proofErr w:type="gramEnd"/>
      <w:r>
        <w:rPr>
          <w:rFonts w:ascii="仿宋" w:eastAsia="仿宋" w:hAnsi="仿宋" w:cs="仿宋" w:hint="eastAsia"/>
          <w:kern w:val="0"/>
          <w:sz w:val="32"/>
          <w:szCs w:val="32"/>
        </w:rPr>
        <w:t>培</w:t>
      </w:r>
      <w:proofErr w:type="gramStart"/>
      <w:r>
        <w:rPr>
          <w:rFonts w:ascii="仿宋" w:eastAsia="仿宋" w:hAnsi="仿宋" w:cs="仿宋" w:hint="eastAsia"/>
          <w:kern w:val="0"/>
          <w:sz w:val="32"/>
          <w:szCs w:val="32"/>
        </w:rPr>
        <w:t>和升硕等</w:t>
      </w:r>
      <w:proofErr w:type="gramEnd"/>
      <w:r>
        <w:rPr>
          <w:rFonts w:ascii="仿宋" w:eastAsia="仿宋" w:hAnsi="仿宋" w:cs="仿宋" w:hint="eastAsia"/>
          <w:kern w:val="0"/>
          <w:sz w:val="32"/>
          <w:szCs w:val="32"/>
        </w:rPr>
        <w:t>工作，做好“接口”性质的1+N分类培养的特色课程衔接，助力学生成人成长成才发展。</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专业教育课程平台包括专业必修课、专业选修课及专业集中性实践环节等。专业集中性实践环节，包含实训实习、毕业设计（论文）等环节。</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（1）实训实习：构建与行业发展和社会需求相适应的，更加科学、合理、系统的专业实践教学方案。单门课程中实验、实</w:t>
      </w:r>
      <w:proofErr w:type="gramStart"/>
      <w:r>
        <w:rPr>
          <w:rFonts w:ascii="仿宋" w:eastAsia="仿宋" w:hAnsi="仿宋" w:cs="仿宋" w:hint="eastAsia"/>
          <w:kern w:val="0"/>
          <w:sz w:val="32"/>
          <w:szCs w:val="32"/>
        </w:rPr>
        <w:t>训部分</w:t>
      </w:r>
      <w:proofErr w:type="gramEnd"/>
      <w:r>
        <w:rPr>
          <w:rFonts w:ascii="仿宋" w:eastAsia="仿宋" w:hAnsi="仿宋" w:cs="仿宋" w:hint="eastAsia"/>
          <w:kern w:val="0"/>
          <w:sz w:val="32"/>
          <w:szCs w:val="32"/>
        </w:rPr>
        <w:t>超过32个学时的可</w:t>
      </w:r>
      <w:proofErr w:type="gramStart"/>
      <w:r>
        <w:rPr>
          <w:rFonts w:ascii="仿宋" w:eastAsia="仿宋" w:hAnsi="仿宋" w:cs="仿宋" w:hint="eastAsia"/>
          <w:kern w:val="0"/>
          <w:sz w:val="32"/>
          <w:szCs w:val="32"/>
        </w:rPr>
        <w:t>独立设</w:t>
      </w:r>
      <w:proofErr w:type="gramEnd"/>
      <w:r>
        <w:rPr>
          <w:rFonts w:ascii="仿宋" w:eastAsia="仿宋" w:hAnsi="仿宋" w:cs="仿宋" w:hint="eastAsia"/>
          <w:kern w:val="0"/>
          <w:sz w:val="32"/>
          <w:szCs w:val="32"/>
        </w:rPr>
        <w:t>课。32学时计1学分。医学类专业毕业实习不少于48周，理学类专业36～40周，工学类、管理类专业12～20周。</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（2）毕业设计（论文）：毕业设计（论文）是本科阶段的综合实践环节，毕业设计（论文）教学大纲应分专业方向单独制定。</w:t>
      </w:r>
    </w:p>
    <w:p w:rsidR="00DD2A37" w:rsidRDefault="00907DED" w:rsidP="000F00BD">
      <w:pPr>
        <w:pStyle w:val="2"/>
        <w:adjustRightInd w:val="0"/>
        <w:ind w:firstLine="643"/>
        <w:rPr>
          <w:rFonts w:ascii="仿宋" w:hAnsi="仿宋" w:cs="仿宋"/>
          <w:sz w:val="32"/>
        </w:rPr>
      </w:pPr>
      <w:bookmarkStart w:id="19" w:name="_Toc61786544"/>
      <w:r>
        <w:rPr>
          <w:rFonts w:ascii="仿宋" w:hAnsi="仿宋" w:cs="仿宋" w:hint="eastAsia"/>
          <w:sz w:val="32"/>
        </w:rPr>
        <w:t>（四）跨学科拓展平台</w:t>
      </w:r>
      <w:bookmarkEnd w:id="19"/>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支持学生专业发展的拓展性课程，引导学生发展个人专长，注重知识交叉、开发潜能。包括交叉整合课程、跨学科课程等。各学院应根据学科特点，面向各本科专业开设具有一定内在联系的不同学科合并或融合而成的新课程，特别是</w:t>
      </w:r>
      <w:proofErr w:type="gramStart"/>
      <w:r>
        <w:rPr>
          <w:rFonts w:ascii="仿宋" w:eastAsia="仿宋" w:hAnsi="仿宋" w:cs="仿宋" w:hint="eastAsia"/>
          <w:kern w:val="0"/>
          <w:sz w:val="32"/>
          <w:szCs w:val="32"/>
        </w:rPr>
        <w:lastRenderedPageBreak/>
        <w:t>医</w:t>
      </w:r>
      <w:proofErr w:type="gramEnd"/>
      <w:r>
        <w:rPr>
          <w:rFonts w:ascii="仿宋" w:eastAsia="仿宋" w:hAnsi="仿宋" w:cs="仿宋" w:hint="eastAsia"/>
          <w:kern w:val="0"/>
          <w:sz w:val="32"/>
          <w:szCs w:val="32"/>
        </w:rPr>
        <w:t>工、医理、</w:t>
      </w:r>
      <w:proofErr w:type="gramStart"/>
      <w:r>
        <w:rPr>
          <w:rFonts w:ascii="仿宋" w:eastAsia="仿宋" w:hAnsi="仿宋" w:cs="仿宋" w:hint="eastAsia"/>
          <w:kern w:val="0"/>
          <w:sz w:val="32"/>
          <w:szCs w:val="32"/>
        </w:rPr>
        <w:t>医</w:t>
      </w:r>
      <w:proofErr w:type="gramEnd"/>
      <w:r>
        <w:rPr>
          <w:rFonts w:ascii="仿宋" w:eastAsia="仿宋" w:hAnsi="仿宋" w:cs="仿宋" w:hint="eastAsia"/>
          <w:kern w:val="0"/>
          <w:sz w:val="32"/>
          <w:szCs w:val="32"/>
        </w:rPr>
        <w:t>文类交叉学科的课程。每个专业可根据情况嵌入多个方向课程模块，满足学生就业、进修以及跨学科发展的需求。</w:t>
      </w:r>
    </w:p>
    <w:p w:rsidR="00DD2A37" w:rsidRDefault="00907DED" w:rsidP="000F00BD">
      <w:pPr>
        <w:pStyle w:val="a9"/>
        <w:adjustRightInd w:val="0"/>
        <w:ind w:firstLine="643"/>
        <w:jc w:val="both"/>
        <w:rPr>
          <w:rFonts w:ascii="仿宋" w:hAnsi="仿宋" w:cs="仿宋"/>
          <w:sz w:val="32"/>
        </w:rPr>
      </w:pPr>
      <w:bookmarkStart w:id="20" w:name="_Toc61786545"/>
      <w:r>
        <w:rPr>
          <w:rFonts w:ascii="仿宋" w:hAnsi="仿宋" w:cs="仿宋" w:hint="eastAsia"/>
          <w:sz w:val="32"/>
        </w:rPr>
        <w:t>六、基本要求</w:t>
      </w:r>
      <w:bookmarkEnd w:id="20"/>
    </w:p>
    <w:p w:rsidR="00DD2A37" w:rsidRPr="00A07AC1" w:rsidRDefault="00907DED" w:rsidP="000F00BD">
      <w:pPr>
        <w:pStyle w:val="2"/>
        <w:adjustRightInd w:val="0"/>
        <w:ind w:firstLine="643"/>
        <w:rPr>
          <w:rFonts w:ascii="仿宋" w:hAnsi="仿宋" w:cs="仿宋"/>
          <w:color w:val="000000" w:themeColor="text1"/>
          <w:sz w:val="32"/>
        </w:rPr>
      </w:pPr>
      <w:bookmarkStart w:id="21" w:name="_Toc61786546"/>
      <w:r w:rsidRPr="00A07AC1">
        <w:rPr>
          <w:rFonts w:ascii="仿宋" w:hAnsi="仿宋" w:cs="仿宋" w:hint="eastAsia"/>
          <w:color w:val="000000" w:themeColor="text1"/>
          <w:sz w:val="32"/>
        </w:rPr>
        <w:t>（一）基本框架</w:t>
      </w:r>
      <w:bookmarkEnd w:id="21"/>
    </w:p>
    <w:p w:rsidR="00DD2A37" w:rsidRPr="00A07AC1" w:rsidRDefault="00907DED">
      <w:pPr>
        <w:widowControl/>
        <w:adjustRightInd w:val="0"/>
        <w:snapToGrid w:val="0"/>
        <w:spacing w:line="360" w:lineRule="auto"/>
        <w:ind w:firstLineChars="200" w:firstLine="640"/>
        <w:rPr>
          <w:rFonts w:ascii="仿宋" w:eastAsia="仿宋" w:hAnsi="仿宋" w:cs="仿宋"/>
          <w:color w:val="000000" w:themeColor="text1"/>
          <w:kern w:val="0"/>
          <w:sz w:val="32"/>
          <w:szCs w:val="32"/>
        </w:rPr>
      </w:pPr>
      <w:r w:rsidRPr="00A07AC1">
        <w:rPr>
          <w:rFonts w:ascii="仿宋" w:eastAsia="仿宋" w:hAnsi="仿宋" w:cs="仿宋" w:hint="eastAsia"/>
          <w:color w:val="000000" w:themeColor="text1"/>
          <w:kern w:val="0"/>
          <w:sz w:val="32"/>
          <w:szCs w:val="32"/>
        </w:rPr>
        <w:t>2021级人才培养方案总体框架</w:t>
      </w:r>
      <w:r w:rsidR="00A07AC1">
        <w:rPr>
          <w:rFonts w:ascii="仿宋" w:eastAsia="仿宋" w:hAnsi="仿宋" w:cs="仿宋" w:hint="eastAsia"/>
          <w:color w:val="000000" w:themeColor="text1"/>
          <w:kern w:val="0"/>
          <w:sz w:val="32"/>
          <w:szCs w:val="32"/>
        </w:rPr>
        <w:t>详见《</w:t>
      </w:r>
      <w:r w:rsidR="00A07AC1" w:rsidRPr="00A07AC1">
        <w:rPr>
          <w:rFonts w:ascii="仿宋" w:eastAsia="仿宋" w:hAnsi="仿宋" w:cs="仿宋" w:hint="eastAsia"/>
          <w:color w:val="000000" w:themeColor="text1"/>
          <w:kern w:val="0"/>
          <w:sz w:val="32"/>
          <w:szCs w:val="32"/>
        </w:rPr>
        <w:t>上海健康医学院本科专业人才培养方案基本内容与格式</w:t>
      </w:r>
      <w:r w:rsidR="00A07AC1">
        <w:rPr>
          <w:rFonts w:ascii="仿宋" w:eastAsia="仿宋" w:hAnsi="仿宋" w:cs="仿宋" w:hint="eastAsia"/>
          <w:color w:val="000000" w:themeColor="text1"/>
          <w:kern w:val="0"/>
          <w:sz w:val="32"/>
          <w:szCs w:val="32"/>
        </w:rPr>
        <w:t>》</w:t>
      </w:r>
      <w:r w:rsidRPr="00A07AC1">
        <w:rPr>
          <w:rFonts w:ascii="仿宋" w:eastAsia="仿宋" w:hAnsi="仿宋" w:cs="仿宋" w:hint="eastAsia"/>
          <w:color w:val="000000" w:themeColor="text1"/>
          <w:kern w:val="0"/>
          <w:sz w:val="32"/>
          <w:szCs w:val="32"/>
        </w:rPr>
        <w:t>。</w:t>
      </w:r>
    </w:p>
    <w:p w:rsidR="00DD2A37" w:rsidRPr="00A07AC1" w:rsidRDefault="00907DED" w:rsidP="000F00BD">
      <w:pPr>
        <w:pStyle w:val="2"/>
        <w:adjustRightInd w:val="0"/>
        <w:ind w:firstLine="643"/>
        <w:rPr>
          <w:rFonts w:ascii="仿宋" w:hAnsi="仿宋" w:cs="仿宋"/>
          <w:color w:val="000000" w:themeColor="text1"/>
          <w:sz w:val="32"/>
        </w:rPr>
      </w:pPr>
      <w:bookmarkStart w:id="22" w:name="_Toc61786547"/>
      <w:r w:rsidRPr="00A07AC1">
        <w:rPr>
          <w:rFonts w:ascii="仿宋" w:hAnsi="仿宋" w:cs="仿宋" w:hint="eastAsia"/>
          <w:color w:val="000000" w:themeColor="text1"/>
          <w:sz w:val="32"/>
        </w:rPr>
        <w:t>（二）学分和学时</w:t>
      </w:r>
      <w:bookmarkEnd w:id="22"/>
    </w:p>
    <w:p w:rsidR="00DD2A37" w:rsidRPr="00A07AC1" w:rsidRDefault="00907DED">
      <w:pPr>
        <w:widowControl/>
        <w:adjustRightInd w:val="0"/>
        <w:snapToGrid w:val="0"/>
        <w:spacing w:line="360" w:lineRule="auto"/>
        <w:ind w:firstLineChars="200" w:firstLine="640"/>
        <w:rPr>
          <w:rFonts w:ascii="仿宋" w:eastAsia="仿宋" w:hAnsi="仿宋" w:cs="仿宋"/>
          <w:color w:val="000000" w:themeColor="text1"/>
          <w:kern w:val="0"/>
          <w:sz w:val="32"/>
          <w:szCs w:val="32"/>
        </w:rPr>
      </w:pPr>
      <w:r w:rsidRPr="00A07AC1">
        <w:rPr>
          <w:rFonts w:ascii="仿宋" w:eastAsia="仿宋" w:hAnsi="仿宋" w:cs="仿宋" w:hint="eastAsia"/>
          <w:color w:val="000000" w:themeColor="text1"/>
          <w:kern w:val="0"/>
          <w:sz w:val="32"/>
          <w:szCs w:val="32"/>
        </w:rPr>
        <w:t>1.课内总学分（含集中性实践教学环节）原则上根据</w:t>
      </w:r>
      <w:r w:rsidR="00A07AC1">
        <w:rPr>
          <w:rFonts w:ascii="仿宋" w:eastAsia="仿宋" w:hAnsi="仿宋" w:cs="仿宋" w:hint="eastAsia"/>
          <w:sz w:val="32"/>
          <w:szCs w:val="32"/>
        </w:rPr>
        <w:t>《国标》</w:t>
      </w:r>
      <w:r w:rsidRPr="00A07AC1">
        <w:rPr>
          <w:rFonts w:ascii="仿宋" w:eastAsia="仿宋" w:hAnsi="仿宋" w:cs="仿宋" w:hint="eastAsia"/>
          <w:color w:val="000000" w:themeColor="text1"/>
          <w:kern w:val="0"/>
          <w:sz w:val="32"/>
          <w:szCs w:val="32"/>
        </w:rPr>
        <w:t>总学分要求设置，暂无国家标准的专业则参照同一类别相近专业；五年制原则上不超过230学分，四年制原则上不超过170学分；毕业实习和毕业设计</w:t>
      </w:r>
      <w:r w:rsidR="00C921F2" w:rsidRPr="00A07AC1">
        <w:rPr>
          <w:rFonts w:ascii="仿宋" w:eastAsia="仿宋" w:hAnsi="仿宋" w:cs="仿宋" w:hint="eastAsia"/>
          <w:color w:val="000000" w:themeColor="text1"/>
          <w:kern w:val="0"/>
          <w:sz w:val="32"/>
          <w:szCs w:val="32"/>
        </w:rPr>
        <w:t>类</w:t>
      </w:r>
      <w:r w:rsidRPr="00A07AC1">
        <w:rPr>
          <w:rFonts w:ascii="仿宋" w:eastAsia="仿宋" w:hAnsi="仿宋" w:cs="仿宋" w:hint="eastAsia"/>
          <w:color w:val="000000" w:themeColor="text1"/>
          <w:kern w:val="0"/>
          <w:sz w:val="32"/>
          <w:szCs w:val="32"/>
        </w:rPr>
        <w:t>课程，医学</w:t>
      </w:r>
      <w:proofErr w:type="gramStart"/>
      <w:r w:rsidRPr="00A07AC1">
        <w:rPr>
          <w:rFonts w:ascii="仿宋" w:eastAsia="仿宋" w:hAnsi="仿宋" w:cs="仿宋" w:hint="eastAsia"/>
          <w:color w:val="000000" w:themeColor="text1"/>
          <w:kern w:val="0"/>
          <w:sz w:val="32"/>
          <w:szCs w:val="32"/>
        </w:rPr>
        <w:t>类至少</w:t>
      </w:r>
      <w:proofErr w:type="gramEnd"/>
      <w:r w:rsidRPr="00A07AC1">
        <w:rPr>
          <w:rFonts w:ascii="仿宋" w:eastAsia="仿宋" w:hAnsi="仿宋" w:cs="仿宋" w:hint="eastAsia"/>
          <w:color w:val="000000" w:themeColor="text1"/>
          <w:kern w:val="0"/>
          <w:sz w:val="32"/>
          <w:szCs w:val="32"/>
        </w:rPr>
        <w:t>48学分，理学类36～40学分，工学类、管理类12～20学分。学分的最小单位为0.5学分。</w:t>
      </w:r>
      <w:r w:rsidR="007F0FB4" w:rsidRPr="00A07AC1">
        <w:rPr>
          <w:rFonts w:ascii="仿宋" w:eastAsia="仿宋" w:hAnsi="仿宋" w:cs="仿宋" w:hint="eastAsia"/>
          <w:color w:val="000000" w:themeColor="text1"/>
          <w:kern w:val="0"/>
          <w:sz w:val="32"/>
          <w:szCs w:val="32"/>
        </w:rPr>
        <w:t>集中进行的见习、实习、毕业设计（论文）等实践教学按周数计算学分，1</w:t>
      </w:r>
      <w:r w:rsidR="007F0FB4" w:rsidRPr="00A07AC1">
        <w:rPr>
          <w:rFonts w:ascii="仿宋" w:eastAsia="仿宋" w:hAnsi="仿宋" w:cs="仿宋"/>
          <w:color w:val="000000" w:themeColor="text1"/>
          <w:kern w:val="0"/>
          <w:sz w:val="32"/>
          <w:szCs w:val="32"/>
        </w:rPr>
        <w:t>-2</w:t>
      </w:r>
      <w:r w:rsidR="007F0FB4" w:rsidRPr="00A07AC1">
        <w:rPr>
          <w:rFonts w:ascii="仿宋" w:eastAsia="仿宋" w:hAnsi="仿宋" w:cs="仿宋" w:hint="eastAsia"/>
          <w:color w:val="000000" w:themeColor="text1"/>
          <w:kern w:val="0"/>
          <w:sz w:val="32"/>
          <w:szCs w:val="32"/>
        </w:rPr>
        <w:t>周折算1学分。</w:t>
      </w:r>
    </w:p>
    <w:p w:rsidR="00DD2A37" w:rsidRPr="00A07AC1" w:rsidRDefault="00907DED">
      <w:pPr>
        <w:widowControl/>
        <w:adjustRightInd w:val="0"/>
        <w:snapToGrid w:val="0"/>
        <w:spacing w:line="360" w:lineRule="auto"/>
        <w:ind w:firstLineChars="200" w:firstLine="640"/>
        <w:rPr>
          <w:rFonts w:ascii="仿宋" w:eastAsia="仿宋" w:hAnsi="仿宋" w:cs="仿宋"/>
          <w:color w:val="000000" w:themeColor="text1"/>
          <w:kern w:val="0"/>
          <w:sz w:val="32"/>
          <w:szCs w:val="32"/>
        </w:rPr>
      </w:pPr>
      <w:r w:rsidRPr="00A07AC1">
        <w:rPr>
          <w:rFonts w:ascii="仿宋" w:eastAsia="仿宋" w:hAnsi="仿宋" w:cs="仿宋" w:hint="eastAsia"/>
          <w:color w:val="000000" w:themeColor="text1"/>
          <w:kern w:val="0"/>
          <w:sz w:val="32"/>
          <w:szCs w:val="32"/>
        </w:rPr>
        <w:t>2.学时要求</w:t>
      </w:r>
    </w:p>
    <w:p w:rsidR="00DD2A37" w:rsidRPr="00A07AC1" w:rsidRDefault="00907DED">
      <w:pPr>
        <w:adjustRightInd w:val="0"/>
        <w:snapToGrid w:val="0"/>
        <w:spacing w:line="360" w:lineRule="auto"/>
        <w:ind w:firstLineChars="200" w:firstLine="640"/>
        <w:rPr>
          <w:rFonts w:ascii="仿宋" w:eastAsia="仿宋" w:hAnsi="仿宋" w:cs="仿宋"/>
          <w:color w:val="000000" w:themeColor="text1"/>
          <w:sz w:val="32"/>
          <w:szCs w:val="32"/>
        </w:rPr>
      </w:pPr>
      <w:r w:rsidRPr="00A07AC1">
        <w:rPr>
          <w:rFonts w:ascii="仿宋" w:eastAsia="仿宋" w:hAnsi="仿宋" w:cs="仿宋" w:hint="eastAsia"/>
          <w:color w:val="000000" w:themeColor="text1"/>
          <w:sz w:val="32"/>
          <w:szCs w:val="32"/>
        </w:rPr>
        <w:t>严格按照《国标》要求，控制各专业学时学分，原则上各专业除专业核心课外，其余课程控制在48学时以内。公共选修课原则上不超过16学时，给学生自主学习留出充足的时间。</w:t>
      </w:r>
      <w:r w:rsidRPr="00A07AC1">
        <w:rPr>
          <w:rFonts w:ascii="仿宋" w:eastAsia="仿宋" w:hAnsi="仿宋" w:cs="仿宋" w:hint="eastAsia"/>
          <w:color w:val="000000" w:themeColor="text1"/>
          <w:kern w:val="0"/>
          <w:sz w:val="32"/>
          <w:szCs w:val="32"/>
        </w:rPr>
        <w:t>五年制课程</w:t>
      </w:r>
      <w:proofErr w:type="gramStart"/>
      <w:r w:rsidRPr="00A07AC1">
        <w:rPr>
          <w:rFonts w:ascii="仿宋" w:eastAsia="仿宋" w:hAnsi="仿宋" w:cs="仿宋" w:hint="eastAsia"/>
          <w:color w:val="000000" w:themeColor="text1"/>
          <w:kern w:val="0"/>
          <w:sz w:val="32"/>
          <w:szCs w:val="32"/>
        </w:rPr>
        <w:t>教学总</w:t>
      </w:r>
      <w:proofErr w:type="gramEnd"/>
      <w:r w:rsidRPr="00A07AC1">
        <w:rPr>
          <w:rFonts w:ascii="仿宋" w:eastAsia="仿宋" w:hAnsi="仿宋" w:cs="仿宋" w:hint="eastAsia"/>
          <w:color w:val="000000" w:themeColor="text1"/>
          <w:kern w:val="0"/>
          <w:sz w:val="32"/>
          <w:szCs w:val="32"/>
        </w:rPr>
        <w:t>学时原则上控制在3700学时左右，四年制课程</w:t>
      </w:r>
      <w:proofErr w:type="gramStart"/>
      <w:r w:rsidRPr="00A07AC1">
        <w:rPr>
          <w:rFonts w:ascii="仿宋" w:eastAsia="仿宋" w:hAnsi="仿宋" w:cs="仿宋" w:hint="eastAsia"/>
          <w:color w:val="000000" w:themeColor="text1"/>
          <w:kern w:val="0"/>
          <w:sz w:val="32"/>
          <w:szCs w:val="32"/>
        </w:rPr>
        <w:t>教学总</w:t>
      </w:r>
      <w:proofErr w:type="gramEnd"/>
      <w:r w:rsidRPr="00A07AC1">
        <w:rPr>
          <w:rFonts w:ascii="仿宋" w:eastAsia="仿宋" w:hAnsi="仿宋" w:cs="仿宋" w:hint="eastAsia"/>
          <w:color w:val="000000" w:themeColor="text1"/>
          <w:kern w:val="0"/>
          <w:sz w:val="32"/>
          <w:szCs w:val="32"/>
        </w:rPr>
        <w:t>学时原则上控制在2800学时左右。</w:t>
      </w:r>
      <w:r w:rsidRPr="00A07AC1">
        <w:rPr>
          <w:rFonts w:ascii="仿宋" w:eastAsia="仿宋" w:hAnsi="仿宋" w:cs="仿宋" w:hint="eastAsia"/>
          <w:color w:val="000000" w:themeColor="text1"/>
          <w:kern w:val="0"/>
          <w:sz w:val="32"/>
          <w:szCs w:val="32"/>
        </w:rPr>
        <w:lastRenderedPageBreak/>
        <w:t>每学年学时原则上控制在900学时左右。每门课程学时数原则上是16的倍数，个别课程可以是8的倍数。</w:t>
      </w:r>
      <w:bookmarkStart w:id="23" w:name="_GoBack"/>
      <w:bookmarkEnd w:id="23"/>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3.周学时数</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医学类专业：24～26学时；其他类专业：22～24学时。</w:t>
      </w:r>
    </w:p>
    <w:p w:rsidR="00DD2A37" w:rsidRDefault="00907DED" w:rsidP="000F00BD">
      <w:pPr>
        <w:pStyle w:val="a9"/>
        <w:adjustRightInd w:val="0"/>
        <w:ind w:firstLine="643"/>
        <w:jc w:val="both"/>
        <w:rPr>
          <w:rFonts w:ascii="仿宋" w:hAnsi="仿宋" w:cs="仿宋"/>
          <w:sz w:val="32"/>
        </w:rPr>
      </w:pPr>
      <w:bookmarkStart w:id="24" w:name="_Toc61786548"/>
      <w:r>
        <w:rPr>
          <w:rFonts w:ascii="仿宋" w:hAnsi="仿宋" w:cs="仿宋" w:hint="eastAsia"/>
          <w:sz w:val="32"/>
        </w:rPr>
        <w:t>七、人才培养方案管理</w:t>
      </w:r>
      <w:bookmarkEnd w:id="24"/>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（一）留学生培养</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根据国家和学校相关文件要求，留学生人才培养方案的制定由国际教育学院按照教育部规定提出原则性意见，相关培养学院具体制定，经国际教育学院审核后实施。</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（二）少数民族预科生培养</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少数民族预科生培养方案由学校根据《教育部民族教育司关于做好2017年普通高等学校少数民族预科生预科阶段培养工作的通知》（教民司函〔2017〕34号）文件规定单独制定/修订。</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（三）为维护人才培养方案的严肃性，保证计划执行的相对稳定性，人才培养方案经批准执行后，各学院不得擅自变更，如确需调整，应报教务处审批。</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（四）新增课程、取消课程、变更课程的授课学期或考核方式、变更课程组学分要求等情况，均属人才培养方案变更范畴。</w:t>
      </w:r>
    </w:p>
    <w:p w:rsidR="00DD2A37" w:rsidRDefault="00907DED">
      <w:pPr>
        <w:widowControl/>
        <w:adjustRightInd w:val="0"/>
        <w:snapToGrid w:val="0"/>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（五）人才培养方案变更申请应在涉及到的计划课程执行前（以落实课程教学任务为节点）提交，计划课程执行过</w:t>
      </w:r>
      <w:r>
        <w:rPr>
          <w:rFonts w:ascii="仿宋" w:eastAsia="仿宋" w:hAnsi="仿宋" w:cs="仿宋" w:hint="eastAsia"/>
          <w:kern w:val="0"/>
          <w:sz w:val="32"/>
          <w:szCs w:val="32"/>
        </w:rPr>
        <w:lastRenderedPageBreak/>
        <w:t>程中一般不得变更。人才方案变更具体流程请参照《上海健康医学院本科专业人才方案管理办法（试行）》相关规定执行。</w:t>
      </w:r>
    </w:p>
    <w:p w:rsidR="00DD2A37" w:rsidRDefault="00DD2A37">
      <w:pPr>
        <w:ind w:firstLineChars="1400" w:firstLine="4480"/>
        <w:rPr>
          <w:rFonts w:ascii="仿宋" w:eastAsia="仿宋" w:hAnsi="仿宋" w:cs="仿宋"/>
          <w:sz w:val="32"/>
          <w:szCs w:val="32"/>
        </w:rPr>
      </w:pPr>
    </w:p>
    <w:p w:rsidR="00DD2A37" w:rsidRDefault="00907DED">
      <w:pPr>
        <w:ind w:firstLineChars="1400" w:firstLine="4480"/>
        <w:jc w:val="right"/>
        <w:rPr>
          <w:rFonts w:ascii="仿宋" w:eastAsia="仿宋" w:hAnsi="仿宋" w:cs="仿宋"/>
          <w:sz w:val="32"/>
          <w:szCs w:val="32"/>
        </w:rPr>
      </w:pPr>
      <w:r>
        <w:rPr>
          <w:rFonts w:ascii="仿宋" w:eastAsia="仿宋" w:hAnsi="仿宋" w:cs="仿宋" w:hint="eastAsia"/>
          <w:sz w:val="32"/>
          <w:szCs w:val="32"/>
        </w:rPr>
        <w:t>上海健康医学院教务处</w:t>
      </w:r>
    </w:p>
    <w:p w:rsidR="00DD2A37" w:rsidRDefault="00907DED">
      <w:pPr>
        <w:ind w:firstLineChars="1650" w:firstLine="5280"/>
        <w:jc w:val="right"/>
        <w:rPr>
          <w:rFonts w:ascii="仿宋" w:eastAsia="仿宋" w:hAnsi="仿宋" w:cs="仿宋"/>
          <w:sz w:val="32"/>
          <w:szCs w:val="32"/>
        </w:rPr>
      </w:pPr>
      <w:r>
        <w:rPr>
          <w:rFonts w:ascii="仿宋" w:eastAsia="仿宋" w:hAnsi="仿宋" w:cs="仿宋" w:hint="eastAsia"/>
          <w:sz w:val="32"/>
          <w:szCs w:val="32"/>
        </w:rPr>
        <w:t>2021年2月23日</w:t>
      </w: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DD2A37">
      <w:pPr>
        <w:ind w:firstLineChars="1500" w:firstLine="4800"/>
        <w:rPr>
          <w:rFonts w:ascii="仿宋" w:eastAsia="仿宋" w:hAnsi="仿宋" w:cs="仿宋"/>
          <w:sz w:val="32"/>
          <w:szCs w:val="32"/>
        </w:rPr>
      </w:pPr>
    </w:p>
    <w:p w:rsidR="00DD2A37" w:rsidRDefault="00FB522E">
      <w:pPr>
        <w:ind w:firstLineChars="1500" w:firstLine="4800"/>
        <w:rPr>
          <w:rFonts w:ascii="仿宋" w:eastAsia="仿宋" w:hAnsi="仿宋" w:cs="仿宋"/>
          <w:sz w:val="32"/>
          <w:szCs w:val="32"/>
        </w:rPr>
      </w:pPr>
      <w:r>
        <w:rPr>
          <w:rFonts w:ascii="仿宋" w:eastAsia="仿宋" w:hAnsi="仿宋" w:cs="仿宋"/>
          <w:noProof/>
          <w:sz w:val="32"/>
          <w:szCs w:val="32"/>
        </w:rPr>
        <w:pict>
          <v:shape id="自选图形 3" o:spid="_x0000_s1029" type="#_x0000_t32" style="position:absolute;left:0;text-align:left;margin-left:1.65pt;margin-top:29.7pt;width:422.1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"/>
        </w:pict>
      </w:r>
    </w:p>
    <w:p w:rsidR="00DD2A37" w:rsidRDefault="00907DED">
      <w:pPr>
        <w:adjustRightInd w:val="0"/>
        <w:snapToGrid w:val="0"/>
        <w:ind w:firstLineChars="100" w:firstLine="280"/>
        <w:rPr>
          <w:rFonts w:ascii="仿宋" w:eastAsia="仿宋" w:hAnsi="仿宋"/>
          <w:sz w:val="28"/>
          <w:szCs w:val="28"/>
        </w:rPr>
      </w:pPr>
      <w:r>
        <w:rPr>
          <w:rFonts w:ascii="仿宋" w:eastAsia="仿宋" w:hAnsi="仿宋" w:hint="eastAsia"/>
          <w:sz w:val="28"/>
          <w:szCs w:val="28"/>
        </w:rPr>
        <w:t>抄送：</w:t>
      </w:r>
    </w:p>
    <w:p w:rsidR="00DD2A37" w:rsidRDefault="00FB522E">
      <w:pPr>
        <w:adjustRightInd w:val="0"/>
        <w:snapToGrid w:val="0"/>
        <w:ind w:firstLineChars="100" w:firstLine="280"/>
        <w:rPr>
          <w:rFonts w:ascii="仿宋" w:eastAsia="仿宋" w:hAnsi="仿宋"/>
          <w:sz w:val="28"/>
          <w:szCs w:val="28"/>
        </w:rPr>
      </w:pPr>
      <w:r>
        <w:rPr>
          <w:rFonts w:ascii="仿宋" w:eastAsia="仿宋" w:hAnsi="仿宋"/>
          <w:noProof/>
          <w:sz w:val="28"/>
          <w:szCs w:val="28"/>
        </w:rPr>
        <w:pict>
          <v:shape id="自选图形 4" o:spid="_x0000_s1028" type="#_x0000_t32" style="position:absolute;left:0;text-align:left;margin-left:1.65pt;margin-top:0;width:422.1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"/>
        </w:pict>
      </w:r>
      <w:r w:rsidR="00907DED">
        <w:rPr>
          <w:rFonts w:ascii="仿宋" w:eastAsia="仿宋" w:hAnsi="仿宋" w:hint="eastAsia"/>
          <w:sz w:val="28"/>
          <w:szCs w:val="28"/>
        </w:rPr>
        <w:t>教务处                            2021年2月23日印发</w:t>
      </w:r>
    </w:p>
    <w:p w:rsidR="00DD2A37" w:rsidRDefault="00FB522E">
      <w:r w:rsidRPr="00FB522E">
        <w:rPr>
          <w:rFonts w:ascii="仿宋" w:eastAsia="仿宋" w:hAnsi="仿宋"/>
          <w:noProof/>
          <w:sz w:val="28"/>
          <w:szCs w:val="28"/>
        </w:rPr>
        <w:pict>
          <v:shape id="自选图形 5" o:spid="_x0000_s1027" type="#_x0000_t32" style="position:absolute;left:0;text-align:left;margin-left:1.65pt;margin-top:.6pt;width:422.1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"/>
        </w:pict>
      </w:r>
    </w:p>
    <w:sectPr w:rsidR="00DD2A37" w:rsidSect="00FB522E">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F77" w:rsidRDefault="00947F77">
      <w:r>
        <w:separator/>
      </w:r>
    </w:p>
  </w:endnote>
  <w:endnote w:type="continuationSeparator" w:id="0">
    <w:p w:rsidR="00947F77" w:rsidRDefault="00947F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大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F77" w:rsidRDefault="00947F77">
      <w:r>
        <w:separator/>
      </w:r>
    </w:p>
  </w:footnote>
  <w:footnote w:type="continuationSeparator" w:id="0">
    <w:p w:rsidR="00947F77" w:rsidRDefault="00947F77">
      <w:r>
        <w:continuationSeparator/>
      </w:r>
    </w:p>
  </w:footnote>
  <w:footnote w:id="1">
    <w:p w:rsidR="00DD2A37" w:rsidRDefault="00907DED">
      <w:pPr>
        <w:pStyle w:val="a7"/>
      </w:pPr>
      <w:r>
        <w:rPr>
          <w:rStyle w:val="ac"/>
        </w:rPr>
        <w:footnoteRef/>
      </w:r>
      <w:r>
        <w:t xml:space="preserve"> </w:t>
      </w:r>
      <w:r>
        <w:rPr>
          <w:rFonts w:hint="eastAsia"/>
        </w:rPr>
        <w:t>五轨并行教学模式：</w:t>
      </w:r>
      <w:r>
        <w:rPr>
          <w:rFonts w:hint="eastAsia"/>
        </w:rPr>
        <w:t>LBL</w:t>
      </w:r>
      <w:r>
        <w:rPr>
          <w:rFonts w:hint="eastAsia"/>
        </w:rPr>
        <w:t>（</w:t>
      </w:r>
      <w:r>
        <w:rPr>
          <w:rFonts w:hint="eastAsia"/>
        </w:rPr>
        <w:t>Lecture-Based-Learning</w:t>
      </w:r>
      <w:r>
        <w:rPr>
          <w:rFonts w:hint="eastAsia"/>
        </w:rPr>
        <w:t>）</w:t>
      </w:r>
      <w:r>
        <w:rPr>
          <w:rFonts w:hint="eastAsia"/>
        </w:rPr>
        <w:t>-PBL</w:t>
      </w:r>
      <w:r>
        <w:rPr>
          <w:rFonts w:hint="eastAsia"/>
        </w:rPr>
        <w:t>（</w:t>
      </w:r>
      <w:r>
        <w:rPr>
          <w:rFonts w:hint="eastAsia"/>
        </w:rPr>
        <w:t>Problem-Based-Learning</w:t>
      </w:r>
      <w:r>
        <w:rPr>
          <w:rFonts w:hint="eastAsia"/>
        </w:rPr>
        <w:t>）</w:t>
      </w:r>
      <w:r>
        <w:rPr>
          <w:rFonts w:hint="eastAsia"/>
        </w:rPr>
        <w:t>-CBL</w:t>
      </w:r>
      <w:r>
        <w:rPr>
          <w:rFonts w:hint="eastAsia"/>
        </w:rPr>
        <w:t>（</w:t>
      </w:r>
      <w:r>
        <w:rPr>
          <w:rFonts w:hint="eastAsia"/>
        </w:rPr>
        <w:t>Case-Based</w:t>
      </w:r>
      <w:r>
        <w:rPr>
          <w:rFonts w:hint="eastAsia"/>
        </w:rPr>
        <w:t>－</w:t>
      </w:r>
      <w:r>
        <w:rPr>
          <w:rFonts w:hint="eastAsia"/>
        </w:rPr>
        <w:t>Learning</w:t>
      </w:r>
      <w:r>
        <w:rPr>
          <w:rFonts w:hint="eastAsia"/>
        </w:rPr>
        <w:t>）</w:t>
      </w:r>
      <w:r>
        <w:rPr>
          <w:rFonts w:hint="eastAsia"/>
        </w:rPr>
        <w:t>-TBL</w:t>
      </w:r>
      <w:r>
        <w:rPr>
          <w:rFonts w:hint="eastAsia"/>
        </w:rPr>
        <w:t>（</w:t>
      </w:r>
      <w:r>
        <w:rPr>
          <w:rFonts w:hint="eastAsia"/>
        </w:rPr>
        <w:t>Team-Based-Learning</w:t>
      </w:r>
      <w:r>
        <w:rPr>
          <w:rFonts w:hint="eastAsia"/>
        </w:rPr>
        <w:t>）</w:t>
      </w:r>
      <w:r>
        <w:rPr>
          <w:rFonts w:hint="eastAsia"/>
        </w:rPr>
        <w:t>-OBL(O2O-Based-Learning)</w:t>
      </w:r>
      <w:r>
        <w:rPr>
          <w:rFonts w:hint="eastAsia"/>
        </w:rPr>
        <w:t>五轨并行。</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B5334"/>
    <w:rsid w:val="000C0B05"/>
    <w:rsid w:val="000F00BD"/>
    <w:rsid w:val="00143C57"/>
    <w:rsid w:val="00172A27"/>
    <w:rsid w:val="00227A1F"/>
    <w:rsid w:val="002850E1"/>
    <w:rsid w:val="002E3648"/>
    <w:rsid w:val="003C615A"/>
    <w:rsid w:val="003E00EE"/>
    <w:rsid w:val="00402E05"/>
    <w:rsid w:val="00491B4D"/>
    <w:rsid w:val="00492DD6"/>
    <w:rsid w:val="004D391E"/>
    <w:rsid w:val="005B5C5F"/>
    <w:rsid w:val="00695DF9"/>
    <w:rsid w:val="00727130"/>
    <w:rsid w:val="007A5382"/>
    <w:rsid w:val="007F0FB4"/>
    <w:rsid w:val="0087373C"/>
    <w:rsid w:val="008B3FCE"/>
    <w:rsid w:val="008B4F89"/>
    <w:rsid w:val="008B704A"/>
    <w:rsid w:val="00907DED"/>
    <w:rsid w:val="00947F77"/>
    <w:rsid w:val="00980AA5"/>
    <w:rsid w:val="00994771"/>
    <w:rsid w:val="00A07AC1"/>
    <w:rsid w:val="00AD363A"/>
    <w:rsid w:val="00B01813"/>
    <w:rsid w:val="00B11013"/>
    <w:rsid w:val="00B96F43"/>
    <w:rsid w:val="00BA003F"/>
    <w:rsid w:val="00C87863"/>
    <w:rsid w:val="00C921F2"/>
    <w:rsid w:val="00D8579B"/>
    <w:rsid w:val="00DD2A37"/>
    <w:rsid w:val="00DE20CF"/>
    <w:rsid w:val="00E431D6"/>
    <w:rsid w:val="00E8226D"/>
    <w:rsid w:val="00FB522E"/>
    <w:rsid w:val="055A730F"/>
    <w:rsid w:val="0C260B6E"/>
    <w:rsid w:val="0D840BB5"/>
    <w:rsid w:val="11701B11"/>
    <w:rsid w:val="15CF6D9B"/>
    <w:rsid w:val="1E875B44"/>
    <w:rsid w:val="1F120F72"/>
    <w:rsid w:val="260600F7"/>
    <w:rsid w:val="26D5207E"/>
    <w:rsid w:val="275E44FC"/>
    <w:rsid w:val="311C5A11"/>
    <w:rsid w:val="42971ACE"/>
    <w:rsid w:val="4A836D4E"/>
    <w:rsid w:val="6D273762"/>
    <w:rsid w:val="70971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rules v:ext="edit">
        <o:r id="V:Rule1" type="connector" idref="#自选图形 2"/>
        <o:r id="V:Rule2" type="connector" idref="#自选图形 3"/>
        <o:r id="V:Rule3" type="connector" idref="#自选图形 4"/>
        <o:r id="V:Rule4" type="connector" idref="#自选图形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footnote reference" w:semiHidden="0" w:uiPriority="0" w:unhideWhenUsed="0"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22E"/>
    <w:pPr>
      <w:widowControl w:val="0"/>
      <w:jc w:val="both"/>
    </w:pPr>
    <w:rPr>
      <w:kern w:val="2"/>
      <w:sz w:val="21"/>
      <w:szCs w:val="24"/>
    </w:rPr>
  </w:style>
  <w:style w:type="paragraph" w:styleId="2">
    <w:name w:val="heading 2"/>
    <w:basedOn w:val="a"/>
    <w:next w:val="a"/>
    <w:unhideWhenUsed/>
    <w:qFormat/>
    <w:rsid w:val="00FB522E"/>
    <w:pPr>
      <w:keepNext/>
      <w:keepLines/>
      <w:snapToGrid w:val="0"/>
      <w:spacing w:line="360" w:lineRule="auto"/>
      <w:ind w:firstLineChars="200" w:firstLine="200"/>
      <w:outlineLvl w:val="1"/>
    </w:pPr>
    <w:rPr>
      <w:rFonts w:asciiTheme="majorHAnsi" w:eastAsia="仿宋"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FB522E"/>
    <w:pPr>
      <w:jc w:val="left"/>
    </w:pPr>
  </w:style>
  <w:style w:type="paragraph" w:styleId="a4">
    <w:name w:val="Balloon Text"/>
    <w:basedOn w:val="a"/>
    <w:link w:val="Char"/>
    <w:uiPriority w:val="99"/>
    <w:semiHidden/>
    <w:unhideWhenUsed/>
    <w:qFormat/>
    <w:rsid w:val="00FB522E"/>
    <w:rPr>
      <w:sz w:val="18"/>
      <w:szCs w:val="18"/>
    </w:rPr>
  </w:style>
  <w:style w:type="paragraph" w:styleId="a5">
    <w:name w:val="footer"/>
    <w:basedOn w:val="a"/>
    <w:link w:val="Char0"/>
    <w:uiPriority w:val="99"/>
    <w:unhideWhenUsed/>
    <w:qFormat/>
    <w:rsid w:val="00FB522E"/>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FB522E"/>
    <w:pPr>
      <w:pBdr>
        <w:bottom w:val="single" w:sz="6" w:space="1" w:color="auto"/>
      </w:pBdr>
      <w:tabs>
        <w:tab w:val="center" w:pos="4153"/>
        <w:tab w:val="right" w:pos="8306"/>
      </w:tabs>
      <w:snapToGrid w:val="0"/>
      <w:jc w:val="center"/>
    </w:pPr>
    <w:rPr>
      <w:sz w:val="18"/>
      <w:szCs w:val="18"/>
    </w:rPr>
  </w:style>
  <w:style w:type="paragraph" w:styleId="a7">
    <w:name w:val="footnote text"/>
    <w:basedOn w:val="a"/>
    <w:qFormat/>
    <w:rsid w:val="00FB522E"/>
    <w:pPr>
      <w:snapToGrid w:val="0"/>
      <w:jc w:val="left"/>
    </w:pPr>
    <w:rPr>
      <w:sz w:val="18"/>
      <w:szCs w:val="18"/>
    </w:rPr>
  </w:style>
  <w:style w:type="paragraph" w:styleId="a8">
    <w:name w:val="Normal (Web)"/>
    <w:basedOn w:val="a"/>
    <w:uiPriority w:val="99"/>
    <w:unhideWhenUsed/>
    <w:qFormat/>
    <w:rsid w:val="00FB522E"/>
    <w:pPr>
      <w:spacing w:before="100" w:beforeAutospacing="1" w:after="100" w:afterAutospacing="1"/>
      <w:jc w:val="left"/>
    </w:pPr>
    <w:rPr>
      <w:kern w:val="0"/>
      <w:sz w:val="24"/>
    </w:rPr>
  </w:style>
  <w:style w:type="paragraph" w:styleId="a9">
    <w:name w:val="Title"/>
    <w:basedOn w:val="a"/>
    <w:next w:val="a"/>
    <w:qFormat/>
    <w:rsid w:val="00FB522E"/>
    <w:pPr>
      <w:snapToGrid w:val="0"/>
      <w:spacing w:line="360" w:lineRule="auto"/>
      <w:ind w:firstLineChars="200" w:firstLine="200"/>
      <w:jc w:val="left"/>
      <w:outlineLvl w:val="0"/>
    </w:pPr>
    <w:rPr>
      <w:rFonts w:asciiTheme="majorHAnsi" w:eastAsia="仿宋" w:hAnsiTheme="majorHAnsi" w:cstheme="majorBidi"/>
      <w:b/>
      <w:bCs/>
      <w:sz w:val="28"/>
      <w:szCs w:val="32"/>
    </w:rPr>
  </w:style>
  <w:style w:type="table" w:styleId="aa">
    <w:name w:val="Table Grid"/>
    <w:basedOn w:val="a1"/>
    <w:uiPriority w:val="39"/>
    <w:qFormat/>
    <w:rsid w:val="00FB5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FB522E"/>
    <w:rPr>
      <w:b/>
    </w:rPr>
  </w:style>
  <w:style w:type="character" w:styleId="ac">
    <w:name w:val="footnote reference"/>
    <w:basedOn w:val="a0"/>
    <w:qFormat/>
    <w:rsid w:val="00FB522E"/>
    <w:rPr>
      <w:vertAlign w:val="superscript"/>
    </w:rPr>
  </w:style>
  <w:style w:type="paragraph" w:customStyle="1" w:styleId="Default">
    <w:name w:val="Default"/>
    <w:uiPriority w:val="99"/>
    <w:unhideWhenUsed/>
    <w:qFormat/>
    <w:rsid w:val="00FB522E"/>
    <w:pPr>
      <w:widowControl w:val="0"/>
      <w:autoSpaceDE w:val="0"/>
      <w:autoSpaceDN w:val="0"/>
      <w:adjustRightInd w:val="0"/>
    </w:pPr>
    <w:rPr>
      <w:rFonts w:ascii="仿宋" w:eastAsia="仿宋" w:hAnsi="仿宋" w:hint="eastAsia"/>
      <w:color w:val="000000"/>
      <w:sz w:val="24"/>
    </w:rPr>
  </w:style>
  <w:style w:type="character" w:customStyle="1" w:styleId="Char0">
    <w:name w:val="页脚 Char"/>
    <w:link w:val="a5"/>
    <w:uiPriority w:val="99"/>
    <w:qFormat/>
    <w:rsid w:val="00FB522E"/>
    <w:rPr>
      <w:rFonts w:ascii="Times New Roman" w:hAnsi="Times New Roman"/>
      <w:kern w:val="2"/>
      <w:sz w:val="18"/>
      <w:szCs w:val="18"/>
    </w:rPr>
  </w:style>
  <w:style w:type="character" w:customStyle="1" w:styleId="Char1">
    <w:name w:val="页眉 Char"/>
    <w:link w:val="a6"/>
    <w:uiPriority w:val="99"/>
    <w:qFormat/>
    <w:rsid w:val="00FB522E"/>
    <w:rPr>
      <w:rFonts w:ascii="Times New Roman" w:hAnsi="Times New Roman"/>
      <w:kern w:val="2"/>
      <w:sz w:val="18"/>
      <w:szCs w:val="18"/>
    </w:rPr>
  </w:style>
  <w:style w:type="character" w:customStyle="1" w:styleId="Char">
    <w:name w:val="批注框文本 Char"/>
    <w:basedOn w:val="a0"/>
    <w:link w:val="a4"/>
    <w:uiPriority w:val="99"/>
    <w:semiHidden/>
    <w:qFormat/>
    <w:rsid w:val="00FB522E"/>
    <w:rPr>
      <w:kern w:val="2"/>
      <w:sz w:val="18"/>
      <w:szCs w:val="18"/>
    </w:rPr>
  </w:style>
  <w:style w:type="paragraph" w:styleId="ad">
    <w:name w:val="List Paragraph"/>
    <w:basedOn w:val="a"/>
    <w:uiPriority w:val="99"/>
    <w:rsid w:val="00B1101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semiHidden="0" w:qFormat="1"/>
    <w:lsdException w:name="header" w:semiHidden="0" w:qFormat="1"/>
    <w:lsdException w:name="footer" w:semiHidden="0" w:qFormat="1"/>
    <w:lsdException w:name="caption" w:uiPriority="35" w:qFormat="1"/>
    <w:lsdException w:name="footnote reference" w:semiHidden="0" w:uiPriority="0" w:unhideWhenUsed="0" w:qFormat="1"/>
    <w:lsdException w:name="Title" w:semiHidden="0" w:uiPriority="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unhideWhenUsed/>
    <w:qFormat/>
    <w:pPr>
      <w:keepNext/>
      <w:keepLines/>
      <w:snapToGrid w:val="0"/>
      <w:spacing w:line="360" w:lineRule="auto"/>
      <w:ind w:firstLineChars="200" w:firstLine="200"/>
      <w:outlineLvl w:val="1"/>
    </w:pPr>
    <w:rPr>
      <w:rFonts w:asciiTheme="majorHAnsi" w:eastAsia="仿宋"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qFormat/>
    <w:pPr>
      <w:snapToGrid w:val="0"/>
      <w:jc w:val="left"/>
    </w:pPr>
    <w:rPr>
      <w:sz w:val="18"/>
      <w:szCs w:val="18"/>
    </w:rPr>
  </w:style>
  <w:style w:type="paragraph" w:styleId="a8">
    <w:name w:val="Normal (Web)"/>
    <w:basedOn w:val="a"/>
    <w:uiPriority w:val="99"/>
    <w:unhideWhenUsed/>
    <w:qFormat/>
    <w:pPr>
      <w:spacing w:before="100" w:beforeAutospacing="1" w:after="100" w:afterAutospacing="1"/>
      <w:jc w:val="left"/>
    </w:pPr>
    <w:rPr>
      <w:kern w:val="0"/>
      <w:sz w:val="24"/>
    </w:rPr>
  </w:style>
  <w:style w:type="paragraph" w:styleId="a9">
    <w:name w:val="Title"/>
    <w:basedOn w:val="a"/>
    <w:next w:val="a"/>
    <w:qFormat/>
    <w:pPr>
      <w:snapToGrid w:val="0"/>
      <w:spacing w:line="360" w:lineRule="auto"/>
      <w:ind w:firstLineChars="200" w:firstLine="200"/>
      <w:jc w:val="left"/>
      <w:outlineLvl w:val="0"/>
    </w:pPr>
    <w:rPr>
      <w:rFonts w:asciiTheme="majorHAnsi" w:eastAsia="仿宋" w:hAnsiTheme="majorHAnsi" w:cstheme="majorBidi"/>
      <w:b/>
      <w:bCs/>
      <w:sz w:val="28"/>
      <w:szCs w:val="32"/>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Pr>
      <w:b/>
    </w:rPr>
  </w:style>
  <w:style w:type="character" w:styleId="ac">
    <w:name w:val="footnote reference"/>
    <w:basedOn w:val="a0"/>
    <w:qFormat/>
    <w:rPr>
      <w:vertAlign w:val="superscript"/>
    </w:rPr>
  </w:style>
  <w:style w:type="paragraph" w:customStyle="1" w:styleId="Default">
    <w:name w:val="Default"/>
    <w:uiPriority w:val="99"/>
    <w:unhideWhenUsed/>
    <w:qFormat/>
    <w:pPr>
      <w:widowControl w:val="0"/>
      <w:autoSpaceDE w:val="0"/>
      <w:autoSpaceDN w:val="0"/>
      <w:adjustRightInd w:val="0"/>
    </w:pPr>
    <w:rPr>
      <w:rFonts w:ascii="仿宋" w:eastAsia="仿宋" w:hAnsi="仿宋" w:hint="eastAsia"/>
      <w:color w:val="000000"/>
      <w:sz w:val="24"/>
    </w:rPr>
  </w:style>
  <w:style w:type="character" w:customStyle="1" w:styleId="Char0">
    <w:name w:val="页脚 Char"/>
    <w:link w:val="a5"/>
    <w:uiPriority w:val="99"/>
    <w:qFormat/>
    <w:rPr>
      <w:rFonts w:ascii="Times New Roman" w:hAnsi="Times New Roman"/>
      <w:kern w:val="2"/>
      <w:sz w:val="18"/>
      <w:szCs w:val="18"/>
    </w:rPr>
  </w:style>
  <w:style w:type="character" w:customStyle="1" w:styleId="Char1">
    <w:name w:val="页眉 Char"/>
    <w:link w:val="a6"/>
    <w:uiPriority w:val="99"/>
    <w:qFormat/>
    <w:rPr>
      <w:rFonts w:ascii="Times New Roman" w:hAnsi="Times New Roman"/>
      <w:kern w:val="2"/>
      <w:sz w:val="18"/>
      <w:szCs w:val="18"/>
    </w:rPr>
  </w:style>
  <w:style w:type="character" w:customStyle="1" w:styleId="Char">
    <w:name w:val="批注框文本 Char"/>
    <w:basedOn w:val="a0"/>
    <w:link w:val="a4"/>
    <w:uiPriority w:val="99"/>
    <w:semiHidden/>
    <w:qFormat/>
    <w:rPr>
      <w:kern w:val="2"/>
      <w:sz w:val="18"/>
      <w:szCs w:val="18"/>
    </w:rPr>
  </w:style>
  <w:style w:type="paragraph" w:styleId="ad">
    <w:name w:val="List Paragraph"/>
    <w:basedOn w:val="a"/>
    <w:uiPriority w:val="99"/>
    <w:rsid w:val="00B11013"/>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977</Words>
  <Characters>5573</Characters>
  <Application>Microsoft Office Word</Application>
  <DocSecurity>0</DocSecurity>
  <Lines>46</Lines>
  <Paragraphs>13</Paragraphs>
  <ScaleCrop>false</ScaleCrop>
  <Company>Microsoft</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ygz</cp:lastModifiedBy>
  <cp:revision>2</cp:revision>
  <cp:lastPrinted>2020-03-12T01:38:00Z</cp:lastPrinted>
  <dcterms:created xsi:type="dcterms:W3CDTF">2022-04-06T05:39:00Z</dcterms:created>
  <dcterms:modified xsi:type="dcterms:W3CDTF">2022-04-06T05:39:00Z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